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CB3" w:rsidRPr="007F3E67" w:rsidRDefault="00E77CB3" w:rsidP="007F3E67">
      <w:pPr>
        <w:jc w:val="center"/>
        <w:rPr>
          <w:lang w:val="fr-FR"/>
        </w:rPr>
      </w:pPr>
      <w:bookmarkStart w:id="0" w:name="_GoBack"/>
      <w:bookmarkEnd w:id="0"/>
    </w:p>
    <w:p w:rsidR="00FE03B4" w:rsidRPr="007F3E67" w:rsidRDefault="00FE03B4" w:rsidP="007F3E67">
      <w:pPr>
        <w:jc w:val="center"/>
        <w:rPr>
          <w:lang w:val="fr-FR"/>
        </w:rPr>
      </w:pPr>
    </w:p>
    <w:p w:rsidR="00FE03B4" w:rsidRPr="007F3E67" w:rsidRDefault="00FE03B4" w:rsidP="007F3E67">
      <w:pPr>
        <w:jc w:val="center"/>
        <w:rPr>
          <w:lang w:val="fr-FR"/>
        </w:rPr>
      </w:pPr>
    </w:p>
    <w:p w:rsidR="00E77CB3" w:rsidRPr="007F3E67" w:rsidRDefault="00E235F1" w:rsidP="007F3E67">
      <w:pPr>
        <w:jc w:val="center"/>
        <w:rPr>
          <w:lang w:val="fr-FR"/>
        </w:rPr>
      </w:pPr>
      <w:r w:rsidRPr="007F3E67">
        <w:rPr>
          <w:lang w:val="fr-FR"/>
        </w:rPr>
        <w:t>PREMIÈRE SECTION</w:t>
      </w:r>
    </w:p>
    <w:p w:rsidR="00E77CB3" w:rsidRPr="007F3E67" w:rsidRDefault="00E77CB3" w:rsidP="007F3E67">
      <w:pPr>
        <w:jc w:val="center"/>
        <w:rPr>
          <w:lang w:val="fr-FR"/>
        </w:rPr>
      </w:pPr>
    </w:p>
    <w:p w:rsidR="00FE03B4" w:rsidRPr="007F3E67" w:rsidRDefault="00FE03B4" w:rsidP="007F3E67">
      <w:pPr>
        <w:jc w:val="center"/>
        <w:rPr>
          <w:lang w:val="fr-FR"/>
        </w:rPr>
      </w:pPr>
    </w:p>
    <w:p w:rsidR="00FE03B4" w:rsidRPr="007F3E67" w:rsidRDefault="00FE03B4" w:rsidP="007F3E67">
      <w:pPr>
        <w:jc w:val="center"/>
        <w:rPr>
          <w:lang w:val="fr-FR"/>
        </w:rPr>
      </w:pPr>
    </w:p>
    <w:p w:rsidR="00FE03B4" w:rsidRPr="007F3E67" w:rsidRDefault="00FE03B4" w:rsidP="007F3E67">
      <w:pPr>
        <w:jc w:val="center"/>
        <w:rPr>
          <w:lang w:val="fr-FR"/>
        </w:rPr>
      </w:pPr>
    </w:p>
    <w:p w:rsidR="00FE03B4" w:rsidRPr="007F3E67" w:rsidRDefault="00FE03B4" w:rsidP="007F3E67">
      <w:pPr>
        <w:jc w:val="center"/>
        <w:rPr>
          <w:lang w:val="fr-FR"/>
        </w:rPr>
      </w:pPr>
    </w:p>
    <w:p w:rsidR="00FE03B4" w:rsidRPr="007F3E67" w:rsidRDefault="00FE03B4" w:rsidP="007F3E67">
      <w:pPr>
        <w:jc w:val="center"/>
        <w:rPr>
          <w:lang w:val="fr-FR"/>
        </w:rPr>
      </w:pPr>
    </w:p>
    <w:p w:rsidR="00E77CB3" w:rsidRPr="007F3E67" w:rsidRDefault="00E77CB3" w:rsidP="007F3E67">
      <w:pPr>
        <w:jc w:val="center"/>
        <w:rPr>
          <w:b/>
          <w:lang w:val="fr-FR"/>
        </w:rPr>
      </w:pPr>
      <w:r w:rsidRPr="007F3E67">
        <w:rPr>
          <w:b/>
          <w:lang w:val="fr-FR"/>
        </w:rPr>
        <w:t xml:space="preserve">AFFAIRE </w:t>
      </w:r>
      <w:r w:rsidR="00E235F1" w:rsidRPr="007F3E67">
        <w:rPr>
          <w:b/>
          <w:lang w:val="fr-FR"/>
        </w:rPr>
        <w:t>AZZOLINA ET AUTRES c. ITALIE</w:t>
      </w:r>
    </w:p>
    <w:p w:rsidR="00E77CB3" w:rsidRPr="007F3E67" w:rsidRDefault="00E77CB3" w:rsidP="007F3E67">
      <w:pPr>
        <w:jc w:val="center"/>
        <w:rPr>
          <w:lang w:val="fr-FR"/>
        </w:rPr>
      </w:pPr>
    </w:p>
    <w:p w:rsidR="00FE03B4" w:rsidRPr="007F3E67" w:rsidRDefault="00E77CB3" w:rsidP="007F3E67">
      <w:pPr>
        <w:jc w:val="center"/>
        <w:rPr>
          <w:szCs w:val="24"/>
          <w:lang w:val="fr-FR"/>
        </w:rPr>
      </w:pPr>
      <w:r w:rsidRPr="007F3E67">
        <w:rPr>
          <w:i/>
          <w:lang w:val="fr-FR"/>
        </w:rPr>
        <w:t>(</w:t>
      </w:r>
      <w:r w:rsidR="00E235F1" w:rsidRPr="007F3E67">
        <w:rPr>
          <w:i/>
          <w:lang w:val="fr-FR"/>
        </w:rPr>
        <w:t>Requêtes n</w:t>
      </w:r>
      <w:r w:rsidR="00E235F1" w:rsidRPr="007F3E67">
        <w:rPr>
          <w:i/>
          <w:vertAlign w:val="superscript"/>
          <w:lang w:val="fr-FR"/>
        </w:rPr>
        <w:t>os</w:t>
      </w:r>
      <w:r w:rsidR="00E235F1" w:rsidRPr="007F3E67">
        <w:rPr>
          <w:i/>
          <w:lang w:val="fr-FR"/>
        </w:rPr>
        <w:t xml:space="preserve"> 28923/09 et 67599/10</w:t>
      </w:r>
      <w:r w:rsidRPr="007F3E67">
        <w:rPr>
          <w:i/>
          <w:lang w:val="fr-FR"/>
        </w:rPr>
        <w:t>)</w:t>
      </w:r>
    </w:p>
    <w:p w:rsidR="00FE03B4" w:rsidRPr="007F3E67" w:rsidRDefault="00FE03B4" w:rsidP="007F3E67">
      <w:pPr>
        <w:jc w:val="center"/>
        <w:rPr>
          <w:szCs w:val="24"/>
          <w:lang w:val="fr-FR"/>
        </w:rPr>
      </w:pPr>
    </w:p>
    <w:p w:rsidR="00FE03B4" w:rsidRPr="007F3E67" w:rsidRDefault="00FE03B4" w:rsidP="007F3E67">
      <w:pPr>
        <w:jc w:val="center"/>
        <w:rPr>
          <w:szCs w:val="24"/>
          <w:lang w:val="fr-FR"/>
        </w:rPr>
      </w:pPr>
    </w:p>
    <w:p w:rsidR="00FE03B4" w:rsidRPr="007F3E67" w:rsidRDefault="00FE03B4" w:rsidP="007F3E67">
      <w:pPr>
        <w:jc w:val="center"/>
        <w:rPr>
          <w:szCs w:val="24"/>
          <w:lang w:val="fr-FR"/>
        </w:rPr>
      </w:pPr>
    </w:p>
    <w:p w:rsidR="00FE03B4" w:rsidRPr="007F3E67" w:rsidRDefault="00FE03B4" w:rsidP="007F3E67">
      <w:pPr>
        <w:jc w:val="center"/>
        <w:rPr>
          <w:szCs w:val="24"/>
          <w:lang w:val="fr-FR"/>
        </w:rPr>
      </w:pPr>
    </w:p>
    <w:p w:rsidR="00FE03B4" w:rsidRPr="007F3E67" w:rsidRDefault="00FE03B4" w:rsidP="007F3E67">
      <w:pPr>
        <w:jc w:val="center"/>
        <w:rPr>
          <w:szCs w:val="24"/>
          <w:lang w:val="fr-FR"/>
        </w:rPr>
      </w:pPr>
    </w:p>
    <w:p w:rsidR="00FE03B4" w:rsidRPr="007F3E67" w:rsidRDefault="00FE03B4" w:rsidP="007F3E67">
      <w:pPr>
        <w:jc w:val="center"/>
        <w:rPr>
          <w:szCs w:val="24"/>
          <w:lang w:val="fr-FR"/>
        </w:rPr>
      </w:pPr>
    </w:p>
    <w:p w:rsidR="00FE03B4" w:rsidRPr="007F3E67" w:rsidRDefault="00FE03B4" w:rsidP="007F3E67">
      <w:pPr>
        <w:jc w:val="center"/>
        <w:rPr>
          <w:szCs w:val="24"/>
          <w:lang w:val="fr-FR"/>
        </w:rPr>
      </w:pPr>
    </w:p>
    <w:p w:rsidR="00FE03B4" w:rsidRPr="007F3E67" w:rsidRDefault="00FE03B4" w:rsidP="007F3E67">
      <w:pPr>
        <w:jc w:val="center"/>
        <w:rPr>
          <w:szCs w:val="24"/>
          <w:lang w:val="fr-FR"/>
        </w:rPr>
      </w:pPr>
    </w:p>
    <w:p w:rsidR="00FE03B4" w:rsidRPr="007F3E67" w:rsidRDefault="00FE03B4" w:rsidP="007F3E67">
      <w:pPr>
        <w:jc w:val="center"/>
        <w:rPr>
          <w:szCs w:val="24"/>
          <w:lang w:val="fr-FR"/>
        </w:rPr>
      </w:pPr>
    </w:p>
    <w:p w:rsidR="007F3E67" w:rsidRPr="007F3E67" w:rsidRDefault="007F3E67" w:rsidP="007F3E67">
      <w:pPr>
        <w:jc w:val="center"/>
        <w:rPr>
          <w:szCs w:val="24"/>
          <w:lang w:val="fr-FR"/>
        </w:rPr>
      </w:pPr>
    </w:p>
    <w:p w:rsidR="007F3E67" w:rsidRPr="007F3E67" w:rsidRDefault="007F3E67" w:rsidP="007F3E67">
      <w:pPr>
        <w:jc w:val="center"/>
        <w:rPr>
          <w:szCs w:val="24"/>
          <w:lang w:val="fr-FR"/>
        </w:rPr>
      </w:pPr>
    </w:p>
    <w:p w:rsidR="007F3E67" w:rsidRPr="007F3E67" w:rsidRDefault="007F3E67" w:rsidP="007F3E67">
      <w:pPr>
        <w:jc w:val="center"/>
        <w:rPr>
          <w:szCs w:val="24"/>
          <w:lang w:val="fr-FR"/>
        </w:rPr>
      </w:pPr>
    </w:p>
    <w:p w:rsidR="007F3E67" w:rsidRPr="007F3E67" w:rsidRDefault="007F3E67" w:rsidP="007F3E67">
      <w:pPr>
        <w:jc w:val="center"/>
        <w:rPr>
          <w:szCs w:val="24"/>
          <w:lang w:val="fr-FR"/>
        </w:rPr>
      </w:pPr>
    </w:p>
    <w:p w:rsidR="00FE03B4" w:rsidRPr="007F3E67" w:rsidRDefault="00FE03B4" w:rsidP="007F3E67">
      <w:pPr>
        <w:jc w:val="center"/>
        <w:rPr>
          <w:szCs w:val="24"/>
          <w:lang w:val="fr-FR"/>
        </w:rPr>
      </w:pPr>
      <w:r w:rsidRPr="007F3E67">
        <w:rPr>
          <w:szCs w:val="24"/>
          <w:lang w:val="fr-FR"/>
        </w:rPr>
        <w:t>ARRÊT</w:t>
      </w:r>
    </w:p>
    <w:p w:rsidR="00FE03B4" w:rsidRPr="007F3E67" w:rsidRDefault="00FE03B4" w:rsidP="007F3E67">
      <w:pPr>
        <w:jc w:val="center"/>
        <w:rPr>
          <w:szCs w:val="24"/>
          <w:lang w:val="fr-FR"/>
        </w:rPr>
      </w:pPr>
    </w:p>
    <w:p w:rsidR="00FE03B4" w:rsidRPr="007F3E67" w:rsidRDefault="00FE03B4" w:rsidP="007F3E67">
      <w:pPr>
        <w:jc w:val="center"/>
        <w:rPr>
          <w:szCs w:val="24"/>
          <w:lang w:val="fr-FR"/>
        </w:rPr>
      </w:pPr>
    </w:p>
    <w:p w:rsidR="00FE03B4" w:rsidRPr="007F3E67" w:rsidRDefault="00FE03B4" w:rsidP="007F3E67">
      <w:pPr>
        <w:jc w:val="center"/>
        <w:rPr>
          <w:szCs w:val="24"/>
          <w:lang w:val="fr-FR"/>
        </w:rPr>
      </w:pPr>
    </w:p>
    <w:p w:rsidR="00FE03B4" w:rsidRPr="007F3E67" w:rsidRDefault="00FE03B4" w:rsidP="007F3E67">
      <w:pPr>
        <w:jc w:val="center"/>
        <w:rPr>
          <w:szCs w:val="24"/>
          <w:lang w:val="fr-FR"/>
        </w:rPr>
      </w:pPr>
    </w:p>
    <w:p w:rsidR="00FE03B4" w:rsidRPr="007F3E67" w:rsidRDefault="00FE03B4" w:rsidP="007F3E67">
      <w:pPr>
        <w:jc w:val="center"/>
        <w:rPr>
          <w:szCs w:val="24"/>
          <w:lang w:val="fr-FR"/>
        </w:rPr>
      </w:pPr>
      <w:r w:rsidRPr="007F3E67">
        <w:rPr>
          <w:szCs w:val="24"/>
          <w:lang w:val="fr-FR"/>
        </w:rPr>
        <w:t>STRASBOURG</w:t>
      </w:r>
    </w:p>
    <w:p w:rsidR="00FE03B4" w:rsidRPr="007F3E67" w:rsidRDefault="00FE03B4" w:rsidP="007F3E67">
      <w:pPr>
        <w:jc w:val="center"/>
        <w:rPr>
          <w:szCs w:val="24"/>
          <w:lang w:val="fr-FR"/>
        </w:rPr>
      </w:pPr>
    </w:p>
    <w:p w:rsidR="00FE03B4" w:rsidRPr="007F3E67" w:rsidRDefault="00D02B93" w:rsidP="007F3E67">
      <w:pPr>
        <w:jc w:val="center"/>
        <w:rPr>
          <w:szCs w:val="24"/>
          <w:lang w:val="fr-FR"/>
        </w:rPr>
      </w:pPr>
      <w:r w:rsidRPr="007F3E67">
        <w:rPr>
          <w:szCs w:val="24"/>
          <w:lang w:val="fr-FR"/>
        </w:rPr>
        <w:t>26 octobre 2017</w:t>
      </w:r>
    </w:p>
    <w:p w:rsidR="00FE03B4" w:rsidRPr="007F3E67" w:rsidRDefault="00FE03B4" w:rsidP="007F3E67">
      <w:pPr>
        <w:jc w:val="center"/>
        <w:rPr>
          <w:szCs w:val="24"/>
          <w:lang w:val="fr-FR"/>
        </w:rPr>
      </w:pPr>
    </w:p>
    <w:p w:rsidR="00FE03B4" w:rsidRPr="007F3E67" w:rsidRDefault="00FE03B4" w:rsidP="007F3E67">
      <w:pPr>
        <w:jc w:val="center"/>
        <w:rPr>
          <w:szCs w:val="24"/>
          <w:lang w:val="fr-FR"/>
        </w:rPr>
      </w:pPr>
    </w:p>
    <w:p w:rsidR="003F2C5F" w:rsidRPr="007F3E67" w:rsidRDefault="00FE03B4" w:rsidP="007F3E67">
      <w:pPr>
        <w:rPr>
          <w:szCs w:val="24"/>
          <w:lang w:val="fr-FR"/>
        </w:rPr>
      </w:pPr>
      <w:r w:rsidRPr="007F3E67">
        <w:rPr>
          <w:i/>
          <w:sz w:val="22"/>
          <w:szCs w:val="24"/>
          <w:lang w:val="fr-FR"/>
        </w:rPr>
        <w:t>Cet arrêt deviendra définitif dans les conditions définies à l</w:t>
      </w:r>
      <w:r w:rsidR="007F3E67" w:rsidRPr="007F3E67">
        <w:rPr>
          <w:i/>
          <w:sz w:val="22"/>
          <w:szCs w:val="24"/>
          <w:lang w:val="fr-FR"/>
        </w:rPr>
        <w:t>’</w:t>
      </w:r>
      <w:r w:rsidRPr="007F3E67">
        <w:rPr>
          <w:i/>
          <w:sz w:val="22"/>
          <w:szCs w:val="24"/>
          <w:lang w:val="fr-FR"/>
        </w:rPr>
        <w:t>article 44 § 2 de la Convention. Il peut subir des retouches de forme</w:t>
      </w:r>
      <w:r w:rsidR="00D02B93" w:rsidRPr="007F3E67">
        <w:rPr>
          <w:i/>
          <w:sz w:val="22"/>
          <w:szCs w:val="24"/>
          <w:lang w:val="fr-FR"/>
        </w:rPr>
        <w:t>.</w:t>
      </w:r>
    </w:p>
    <w:p w:rsidR="00FE03B4" w:rsidRPr="007F3E67" w:rsidRDefault="00FE03B4" w:rsidP="007F3E67">
      <w:pPr>
        <w:pStyle w:val="JuCase"/>
        <w:rPr>
          <w:lang w:val="fr-FR"/>
        </w:rPr>
        <w:sectPr w:rsidR="00FE03B4" w:rsidRPr="007F3E67" w:rsidSect="00FE03B4">
          <w:headerReference w:type="default" r:id="rId11"/>
          <w:headerReference w:type="first" r:id="rId12"/>
          <w:footerReference w:type="first" r:id="rId13"/>
          <w:footnotePr>
            <w:numRestart w:val="eachSect"/>
          </w:footnotePr>
          <w:pgSz w:w="11906" w:h="16838" w:code="9"/>
          <w:pgMar w:top="2274" w:right="2274" w:bottom="2274" w:left="2274" w:header="1701" w:footer="720" w:gutter="0"/>
          <w:pgNumType w:start="1"/>
          <w:cols w:space="720"/>
          <w:titlePg/>
          <w:docGrid w:linePitch="326"/>
        </w:sectPr>
      </w:pPr>
    </w:p>
    <w:p w:rsidR="00E77CB3" w:rsidRPr="007F3E67" w:rsidRDefault="00E77CB3" w:rsidP="007F3E67">
      <w:pPr>
        <w:pStyle w:val="JuCase"/>
        <w:rPr>
          <w:lang w:val="fr-FR"/>
        </w:rPr>
      </w:pPr>
      <w:r w:rsidRPr="007F3E67">
        <w:rPr>
          <w:lang w:val="fr-FR"/>
        </w:rPr>
        <w:lastRenderedPageBreak/>
        <w:t>En l</w:t>
      </w:r>
      <w:r w:rsidR="007F3E67" w:rsidRPr="007F3E67">
        <w:rPr>
          <w:lang w:val="fr-FR"/>
        </w:rPr>
        <w:t>’</w:t>
      </w:r>
      <w:r w:rsidRPr="007F3E67">
        <w:rPr>
          <w:lang w:val="fr-FR"/>
        </w:rPr>
        <w:t xml:space="preserve">affaire </w:t>
      </w:r>
      <w:r w:rsidR="00E235F1" w:rsidRPr="007F3E67">
        <w:rPr>
          <w:lang w:val="fr-FR"/>
        </w:rPr>
        <w:t>Azzolina et autres c. Italie</w:t>
      </w:r>
      <w:r w:rsidRPr="007F3E67">
        <w:rPr>
          <w:lang w:val="fr-FR"/>
        </w:rPr>
        <w:t>,</w:t>
      </w:r>
    </w:p>
    <w:p w:rsidR="00E77CB3" w:rsidRPr="007F3E67" w:rsidRDefault="00E77CB3" w:rsidP="007F3E67">
      <w:pPr>
        <w:pStyle w:val="ECHRPara"/>
        <w:rPr>
          <w:lang w:val="fr-FR"/>
        </w:rPr>
      </w:pPr>
      <w:r w:rsidRPr="007F3E67">
        <w:rPr>
          <w:lang w:val="fr-FR"/>
        </w:rPr>
        <w:t>La Cour européenne des droits de l</w:t>
      </w:r>
      <w:r w:rsidR="007F3E67" w:rsidRPr="007F3E67">
        <w:rPr>
          <w:lang w:val="fr-FR"/>
        </w:rPr>
        <w:t>’</w:t>
      </w:r>
      <w:r w:rsidRPr="007F3E67">
        <w:rPr>
          <w:lang w:val="fr-FR"/>
        </w:rPr>
        <w:t>homme (</w:t>
      </w:r>
      <w:r w:rsidR="00E235F1" w:rsidRPr="007F3E67">
        <w:rPr>
          <w:lang w:val="fr-FR"/>
        </w:rPr>
        <w:t>première section</w:t>
      </w:r>
      <w:r w:rsidRPr="007F3E67">
        <w:rPr>
          <w:lang w:val="fr-FR"/>
        </w:rPr>
        <w:t xml:space="preserve">), siégeant en </w:t>
      </w:r>
      <w:r w:rsidR="00E235F1" w:rsidRPr="007F3E67">
        <w:rPr>
          <w:lang w:val="fr-FR"/>
        </w:rPr>
        <w:t>une chambre composée</w:t>
      </w:r>
      <w:r w:rsidRPr="007F3E67">
        <w:rPr>
          <w:lang w:val="fr-FR"/>
        </w:rPr>
        <w:t xml:space="preserve"> de :</w:t>
      </w:r>
    </w:p>
    <w:p w:rsidR="00E77CB3" w:rsidRPr="007F3E67" w:rsidRDefault="00FE03B4" w:rsidP="007F3E67">
      <w:pPr>
        <w:pStyle w:val="ECHRDecisionBody"/>
        <w:rPr>
          <w:lang w:val="fr-FR"/>
        </w:rPr>
      </w:pPr>
      <w:r w:rsidRPr="007F3E67">
        <w:rPr>
          <w:lang w:val="fr-FR"/>
        </w:rPr>
        <w:tab/>
        <w:t>Linos-Alexandre Sicilianos,</w:t>
      </w:r>
      <w:r w:rsidRPr="007F3E67">
        <w:rPr>
          <w:i/>
          <w:lang w:val="fr-FR"/>
        </w:rPr>
        <w:t xml:space="preserve"> président,</w:t>
      </w:r>
      <w:r w:rsidRPr="007F3E67">
        <w:rPr>
          <w:i/>
          <w:lang w:val="fr-FR"/>
        </w:rPr>
        <w:br/>
      </w:r>
      <w:r w:rsidRPr="007F3E67">
        <w:rPr>
          <w:lang w:val="fr-FR"/>
        </w:rPr>
        <w:tab/>
        <w:t>Kristina Pardalos,</w:t>
      </w:r>
      <w:r w:rsidRPr="007F3E67">
        <w:rPr>
          <w:i/>
          <w:lang w:val="fr-FR"/>
        </w:rPr>
        <w:br/>
      </w:r>
      <w:r w:rsidRPr="007F3E67">
        <w:rPr>
          <w:lang w:val="fr-FR"/>
        </w:rPr>
        <w:tab/>
        <w:t>Guido Raimondi,</w:t>
      </w:r>
      <w:r w:rsidRPr="007F3E67">
        <w:rPr>
          <w:i/>
          <w:lang w:val="fr-FR"/>
        </w:rPr>
        <w:br/>
      </w:r>
      <w:r w:rsidRPr="007F3E67">
        <w:rPr>
          <w:lang w:val="fr-FR"/>
        </w:rPr>
        <w:tab/>
        <w:t>Aleš Pejchal,</w:t>
      </w:r>
      <w:r w:rsidRPr="007F3E67">
        <w:rPr>
          <w:i/>
          <w:lang w:val="fr-FR"/>
        </w:rPr>
        <w:br/>
      </w:r>
      <w:r w:rsidRPr="007F3E67">
        <w:rPr>
          <w:lang w:val="fr-FR"/>
        </w:rPr>
        <w:tab/>
        <w:t>Ksenija Turković,</w:t>
      </w:r>
      <w:r w:rsidRPr="007F3E67">
        <w:rPr>
          <w:i/>
          <w:lang w:val="fr-FR"/>
        </w:rPr>
        <w:br/>
      </w:r>
      <w:r w:rsidRPr="007F3E67">
        <w:rPr>
          <w:lang w:val="fr-FR"/>
        </w:rPr>
        <w:tab/>
        <w:t>Pauliine Koskelo,</w:t>
      </w:r>
      <w:r w:rsidRPr="007F3E67">
        <w:rPr>
          <w:i/>
          <w:lang w:val="fr-FR"/>
        </w:rPr>
        <w:br/>
      </w:r>
      <w:r w:rsidRPr="007F3E67">
        <w:rPr>
          <w:lang w:val="fr-FR"/>
        </w:rPr>
        <w:tab/>
        <w:t>Tim Eicke,</w:t>
      </w:r>
      <w:r w:rsidRPr="007F3E67">
        <w:rPr>
          <w:i/>
          <w:lang w:val="fr-FR"/>
        </w:rPr>
        <w:t xml:space="preserve"> juges,</w:t>
      </w:r>
      <w:r w:rsidRPr="007F3E67">
        <w:rPr>
          <w:i/>
          <w:lang w:val="fr-FR"/>
        </w:rPr>
        <w:br/>
      </w:r>
      <w:r w:rsidR="00E77CB3" w:rsidRPr="007F3E67">
        <w:rPr>
          <w:lang w:val="fr-FR"/>
        </w:rPr>
        <w:t xml:space="preserve">et de </w:t>
      </w:r>
      <w:r w:rsidR="00E235F1" w:rsidRPr="007F3E67">
        <w:rPr>
          <w:lang w:val="fr-FR"/>
        </w:rPr>
        <w:t>Abel Campos</w:t>
      </w:r>
      <w:r w:rsidR="00E77CB3" w:rsidRPr="007F3E67">
        <w:rPr>
          <w:lang w:val="fr-FR"/>
        </w:rPr>
        <w:t xml:space="preserve">, </w:t>
      </w:r>
      <w:r w:rsidR="00E235F1" w:rsidRPr="007F3E67">
        <w:rPr>
          <w:i/>
          <w:lang w:val="fr-FR"/>
        </w:rPr>
        <w:t>greffier</w:t>
      </w:r>
      <w:r w:rsidR="00E235F1" w:rsidRPr="007F3E67">
        <w:rPr>
          <w:iCs/>
          <w:lang w:val="fr-FR"/>
        </w:rPr>
        <w:t xml:space="preserve"> </w:t>
      </w:r>
      <w:r w:rsidR="00E235F1" w:rsidRPr="007F3E67">
        <w:rPr>
          <w:i/>
          <w:iCs/>
          <w:lang w:val="fr-FR"/>
        </w:rPr>
        <w:t>d</w:t>
      </w:r>
      <w:r w:rsidR="00E235F1" w:rsidRPr="007F3E67">
        <w:rPr>
          <w:i/>
          <w:lang w:val="fr-FR"/>
        </w:rPr>
        <w:t>e section</w:t>
      </w:r>
      <w:r w:rsidR="00E77CB3" w:rsidRPr="007F3E67">
        <w:rPr>
          <w:lang w:val="fr-FR"/>
        </w:rPr>
        <w:t>,</w:t>
      </w:r>
    </w:p>
    <w:p w:rsidR="00E77CB3" w:rsidRPr="007F3E67" w:rsidRDefault="00E77CB3" w:rsidP="007F3E67">
      <w:pPr>
        <w:pStyle w:val="ECHRPara"/>
        <w:rPr>
          <w:lang w:val="fr-FR"/>
        </w:rPr>
      </w:pPr>
      <w:r w:rsidRPr="007F3E67">
        <w:rPr>
          <w:lang w:val="fr-FR"/>
        </w:rPr>
        <w:t xml:space="preserve">Après en avoir délibéré en chambre du conseil le </w:t>
      </w:r>
      <w:r w:rsidR="00FE03B4" w:rsidRPr="007F3E67">
        <w:rPr>
          <w:lang w:val="fr-FR"/>
        </w:rPr>
        <w:t>3 octobre 2017</w:t>
      </w:r>
      <w:r w:rsidRPr="007F3E67">
        <w:rPr>
          <w:lang w:val="fr-FR"/>
        </w:rPr>
        <w:t>,</w:t>
      </w:r>
    </w:p>
    <w:p w:rsidR="00E77CB3" w:rsidRPr="007F3E67" w:rsidRDefault="00E77CB3" w:rsidP="007F3E67">
      <w:pPr>
        <w:pStyle w:val="ECHRPara"/>
        <w:rPr>
          <w:lang w:val="fr-FR"/>
        </w:rPr>
      </w:pPr>
      <w:r w:rsidRPr="007F3E67">
        <w:rPr>
          <w:lang w:val="fr-FR"/>
        </w:rPr>
        <w:t>Rend l</w:t>
      </w:r>
      <w:r w:rsidR="007F3E67" w:rsidRPr="007F3E67">
        <w:rPr>
          <w:lang w:val="fr-FR"/>
        </w:rPr>
        <w:t>’</w:t>
      </w:r>
      <w:r w:rsidRPr="007F3E67">
        <w:rPr>
          <w:lang w:val="fr-FR"/>
        </w:rPr>
        <w:t>arrêt que voici, adopté à cette date :</w:t>
      </w:r>
    </w:p>
    <w:p w:rsidR="00E77CB3" w:rsidRPr="007F3E67" w:rsidRDefault="00E77CB3" w:rsidP="007F3E67">
      <w:pPr>
        <w:pStyle w:val="ECHRTitle1"/>
        <w:rPr>
          <w:lang w:val="fr-FR"/>
        </w:rPr>
      </w:pPr>
      <w:r w:rsidRPr="007F3E67">
        <w:rPr>
          <w:lang w:val="fr-FR"/>
        </w:rPr>
        <w:t>PROCÉDURE</w:t>
      </w:r>
    </w:p>
    <w:p w:rsidR="00B23AF4" w:rsidRPr="007F3E67" w:rsidRDefault="00E235F1" w:rsidP="007F3E67">
      <w:pPr>
        <w:pStyle w:val="ECHRPara"/>
        <w:rPr>
          <w:lang w:val="fr-FR"/>
        </w:rPr>
      </w:pPr>
      <w:r w:rsidRPr="007F3E67">
        <w:rPr>
          <w:lang w:val="fr-FR"/>
        </w:rPr>
        <w:fldChar w:fldCharType="begin"/>
      </w:r>
      <w:r w:rsidRPr="007F3E67">
        <w:rPr>
          <w:lang w:val="fr-FR"/>
        </w:rPr>
        <w:instrText xml:space="preserve"> SEQ level0 \*arabic </w:instrText>
      </w:r>
      <w:r w:rsidRPr="007F3E67">
        <w:rPr>
          <w:lang w:val="fr-FR"/>
        </w:rPr>
        <w:fldChar w:fldCharType="separate"/>
      </w:r>
      <w:r w:rsidR="007F3E67" w:rsidRPr="007F3E67">
        <w:rPr>
          <w:noProof/>
          <w:lang w:val="fr-FR"/>
        </w:rPr>
        <w:t>1</w:t>
      </w:r>
      <w:r w:rsidRPr="007F3E67">
        <w:rPr>
          <w:lang w:val="fr-FR"/>
        </w:rPr>
        <w:fldChar w:fldCharType="end"/>
      </w:r>
      <w:r w:rsidR="00E77CB3" w:rsidRPr="007F3E67">
        <w:rPr>
          <w:lang w:val="fr-FR"/>
        </w:rPr>
        <w:t>.  À l</w:t>
      </w:r>
      <w:r w:rsidR="007F3E67" w:rsidRPr="007F3E67">
        <w:rPr>
          <w:lang w:val="fr-FR"/>
        </w:rPr>
        <w:t>’</w:t>
      </w:r>
      <w:r w:rsidR="00E77CB3" w:rsidRPr="007F3E67">
        <w:rPr>
          <w:lang w:val="fr-FR"/>
        </w:rPr>
        <w:t>origine de l</w:t>
      </w:r>
      <w:r w:rsidR="007F3E67" w:rsidRPr="007F3E67">
        <w:rPr>
          <w:lang w:val="fr-FR"/>
        </w:rPr>
        <w:t>’</w:t>
      </w:r>
      <w:r w:rsidR="00E77CB3" w:rsidRPr="007F3E67">
        <w:rPr>
          <w:lang w:val="fr-FR"/>
        </w:rPr>
        <w:t xml:space="preserve">affaire </w:t>
      </w:r>
      <w:r w:rsidRPr="007F3E67">
        <w:rPr>
          <w:lang w:val="fr-FR"/>
        </w:rPr>
        <w:t xml:space="preserve">se trouvent </w:t>
      </w:r>
      <w:r w:rsidR="00B23AF4" w:rsidRPr="007F3E67">
        <w:rPr>
          <w:lang w:val="fr-FR"/>
        </w:rPr>
        <w:t>deux</w:t>
      </w:r>
      <w:r w:rsidRPr="007F3E67">
        <w:rPr>
          <w:lang w:val="fr-FR"/>
        </w:rPr>
        <w:t xml:space="preserve"> requêtes (n</w:t>
      </w:r>
      <w:r w:rsidRPr="007F3E67">
        <w:rPr>
          <w:vertAlign w:val="superscript"/>
          <w:lang w:val="fr-FR"/>
        </w:rPr>
        <w:t>os</w:t>
      </w:r>
      <w:r w:rsidR="007F3E67" w:rsidRPr="007F3E67">
        <w:rPr>
          <w:lang w:val="fr-FR"/>
        </w:rPr>
        <w:t xml:space="preserve"> 28923/09 et </w:t>
      </w:r>
      <w:r w:rsidR="00B23AF4" w:rsidRPr="007F3E67">
        <w:rPr>
          <w:lang w:val="fr-FR"/>
        </w:rPr>
        <w:t>67599/10</w:t>
      </w:r>
      <w:r w:rsidRPr="007F3E67">
        <w:rPr>
          <w:lang w:val="fr-FR"/>
        </w:rPr>
        <w:t>) dirigées</w:t>
      </w:r>
      <w:r w:rsidR="00E77CB3" w:rsidRPr="007F3E67">
        <w:rPr>
          <w:lang w:val="fr-FR"/>
        </w:rPr>
        <w:t xml:space="preserve"> contre </w:t>
      </w:r>
      <w:r w:rsidRPr="007F3E67">
        <w:rPr>
          <w:lang w:val="fr-FR"/>
        </w:rPr>
        <w:t>la République italienne</w:t>
      </w:r>
      <w:r w:rsidR="00E77CB3" w:rsidRPr="007F3E67">
        <w:rPr>
          <w:lang w:val="fr-FR"/>
        </w:rPr>
        <w:t xml:space="preserve"> et </w:t>
      </w:r>
      <w:r w:rsidR="00261666" w:rsidRPr="007F3E67">
        <w:rPr>
          <w:lang w:val="fr-FR"/>
        </w:rPr>
        <w:t>introduite par</w:t>
      </w:r>
      <w:r w:rsidR="00E77CB3" w:rsidRPr="007F3E67">
        <w:rPr>
          <w:lang w:val="fr-FR"/>
        </w:rPr>
        <w:t xml:space="preserve"> </w:t>
      </w:r>
      <w:r w:rsidR="00A77031" w:rsidRPr="007F3E67">
        <w:rPr>
          <w:lang w:val="fr-FR"/>
        </w:rPr>
        <w:t>trente</w:t>
      </w:r>
      <w:r w:rsidR="00B23AF4" w:rsidRPr="007F3E67">
        <w:rPr>
          <w:lang w:val="fr-FR"/>
        </w:rPr>
        <w:t xml:space="preserve"> et un ressortissants de différentes nationalités (« les requérants »), do</w:t>
      </w:r>
      <w:r w:rsidR="00160C8A" w:rsidRPr="007F3E67">
        <w:rPr>
          <w:lang w:val="fr-FR"/>
        </w:rPr>
        <w:t xml:space="preserve">nt les noms figurent </w:t>
      </w:r>
      <w:r w:rsidR="004F3FBD" w:rsidRPr="007F3E67">
        <w:rPr>
          <w:lang w:val="fr-FR"/>
        </w:rPr>
        <w:t xml:space="preserve">en </w:t>
      </w:r>
      <w:r w:rsidR="00160C8A" w:rsidRPr="007F3E67">
        <w:rPr>
          <w:lang w:val="fr-FR"/>
        </w:rPr>
        <w:t>annexe</w:t>
      </w:r>
      <w:r w:rsidR="00B23AF4" w:rsidRPr="007F3E67">
        <w:rPr>
          <w:lang w:val="fr-FR"/>
        </w:rPr>
        <w:t xml:space="preserve">, </w:t>
      </w:r>
      <w:r w:rsidR="00261666" w:rsidRPr="007F3E67">
        <w:rPr>
          <w:lang w:val="fr-FR"/>
        </w:rPr>
        <w:t>devant</w:t>
      </w:r>
      <w:r w:rsidR="00B23AF4" w:rsidRPr="007F3E67">
        <w:rPr>
          <w:lang w:val="fr-FR"/>
        </w:rPr>
        <w:t xml:space="preserve"> la Cour le 27 mai 2009 et le 3 septembre 2010 </w:t>
      </w:r>
      <w:r w:rsidR="00FC2E84" w:rsidRPr="007F3E67">
        <w:rPr>
          <w:lang w:val="fr-FR"/>
        </w:rPr>
        <w:t xml:space="preserve">respectivement </w:t>
      </w:r>
      <w:r w:rsidR="00B23AF4" w:rsidRPr="007F3E67">
        <w:rPr>
          <w:lang w:val="fr-FR"/>
        </w:rPr>
        <w:t>en vertu de l</w:t>
      </w:r>
      <w:r w:rsidR="007F3E67" w:rsidRPr="007F3E67">
        <w:rPr>
          <w:lang w:val="fr-FR"/>
        </w:rPr>
        <w:t>’</w:t>
      </w:r>
      <w:r w:rsidR="00B23AF4" w:rsidRPr="007F3E67">
        <w:rPr>
          <w:lang w:val="fr-FR"/>
        </w:rPr>
        <w:t>article 34 de la Convention de sauvegarde des droits de l</w:t>
      </w:r>
      <w:r w:rsidR="007F3E67" w:rsidRPr="007F3E67">
        <w:rPr>
          <w:lang w:val="fr-FR"/>
        </w:rPr>
        <w:t>’</w:t>
      </w:r>
      <w:r w:rsidR="00B23AF4" w:rsidRPr="007F3E67">
        <w:rPr>
          <w:lang w:val="fr-FR"/>
        </w:rPr>
        <w:t>homme et des libertés fondamentales (« la Convention »).</w:t>
      </w:r>
    </w:p>
    <w:p w:rsidR="00B23AF4" w:rsidRPr="007F3E67" w:rsidRDefault="00B23AF4" w:rsidP="007F3E67">
      <w:pPr>
        <w:pStyle w:val="ECHRPara"/>
        <w:rPr>
          <w:lang w:val="fr-FR"/>
        </w:rPr>
      </w:pPr>
      <w:r w:rsidRPr="007F3E67">
        <w:rPr>
          <w:lang w:val="fr-FR"/>
        </w:rPr>
        <w:fldChar w:fldCharType="begin"/>
      </w:r>
      <w:r w:rsidRPr="007F3E67">
        <w:rPr>
          <w:lang w:val="fr-FR"/>
        </w:rPr>
        <w:instrText xml:space="preserve"> SEQ level0 \*arabic </w:instrText>
      </w:r>
      <w:r w:rsidRPr="007F3E67">
        <w:rPr>
          <w:lang w:val="fr-FR"/>
        </w:rPr>
        <w:fldChar w:fldCharType="separate"/>
      </w:r>
      <w:r w:rsidR="007F3E67" w:rsidRPr="007F3E67">
        <w:rPr>
          <w:noProof/>
          <w:lang w:val="fr-FR"/>
        </w:rPr>
        <w:t>2</w:t>
      </w:r>
      <w:r w:rsidRPr="007F3E67">
        <w:rPr>
          <w:lang w:val="fr-FR"/>
        </w:rPr>
        <w:fldChar w:fldCharType="end"/>
      </w:r>
      <w:r w:rsidRPr="007F3E67">
        <w:rPr>
          <w:lang w:val="fr-FR"/>
        </w:rPr>
        <w:t xml:space="preserve">.  Les </w:t>
      </w:r>
      <w:r w:rsidR="00160C8A" w:rsidRPr="007F3E67">
        <w:rPr>
          <w:lang w:val="fr-FR"/>
        </w:rPr>
        <w:t xml:space="preserve">noms des </w:t>
      </w:r>
      <w:r w:rsidRPr="007F3E67">
        <w:rPr>
          <w:lang w:val="fr-FR"/>
        </w:rPr>
        <w:t>re</w:t>
      </w:r>
      <w:r w:rsidR="00160C8A" w:rsidRPr="007F3E67">
        <w:rPr>
          <w:lang w:val="fr-FR"/>
        </w:rPr>
        <w:t>présentants des requérants figurent en annexe</w:t>
      </w:r>
      <w:r w:rsidRPr="007F3E67">
        <w:rPr>
          <w:lang w:val="fr-FR"/>
        </w:rPr>
        <w:t>. Le gouvernement italien (« le Gouvernement ») a été représenté par son agent, M</w:t>
      </w:r>
      <w:r w:rsidRPr="007F3E67">
        <w:rPr>
          <w:vertAlign w:val="superscript"/>
          <w:lang w:val="fr-FR"/>
        </w:rPr>
        <w:t>me</w:t>
      </w:r>
      <w:r w:rsidR="007F3E67" w:rsidRPr="007F3E67">
        <w:rPr>
          <w:lang w:val="fr-FR"/>
        </w:rPr>
        <w:t> </w:t>
      </w:r>
      <w:r w:rsidRPr="007F3E67">
        <w:rPr>
          <w:lang w:val="fr-FR"/>
        </w:rPr>
        <w:t>E.</w:t>
      </w:r>
      <w:r w:rsidR="007F3E67" w:rsidRPr="007F3E67">
        <w:rPr>
          <w:lang w:val="fr-FR"/>
        </w:rPr>
        <w:t> </w:t>
      </w:r>
      <w:r w:rsidRPr="007F3E67">
        <w:rPr>
          <w:lang w:val="fr-FR"/>
        </w:rPr>
        <w:t>Spatafora, et par son co-agent, M</w:t>
      </w:r>
      <w:r w:rsidRPr="007F3E67">
        <w:rPr>
          <w:vertAlign w:val="superscript"/>
          <w:lang w:val="fr-FR"/>
        </w:rPr>
        <w:t>me</w:t>
      </w:r>
      <w:r w:rsidRPr="007F3E67">
        <w:rPr>
          <w:lang w:val="fr-FR"/>
        </w:rPr>
        <w:t xml:space="preserve"> A. Aversano.</w:t>
      </w:r>
    </w:p>
    <w:p w:rsidR="00F019E6" w:rsidRPr="007F3E67" w:rsidRDefault="00160C8A" w:rsidP="007F3E67">
      <w:pPr>
        <w:pStyle w:val="ECHRPara"/>
        <w:rPr>
          <w:lang w:val="fr-FR"/>
        </w:rPr>
      </w:pPr>
      <w:r w:rsidRPr="007F3E67">
        <w:rPr>
          <w:lang w:val="fr-FR"/>
        </w:rPr>
        <w:fldChar w:fldCharType="begin"/>
      </w:r>
      <w:r w:rsidRPr="007F3E67">
        <w:rPr>
          <w:lang w:val="fr-FR"/>
        </w:rPr>
        <w:instrText xml:space="preserve"> SEQ level0 \*arabic </w:instrText>
      </w:r>
      <w:r w:rsidRPr="007F3E67">
        <w:rPr>
          <w:lang w:val="fr-FR"/>
        </w:rPr>
        <w:fldChar w:fldCharType="separate"/>
      </w:r>
      <w:r w:rsidR="007F3E67" w:rsidRPr="007F3E67">
        <w:rPr>
          <w:noProof/>
          <w:lang w:val="fr-FR"/>
        </w:rPr>
        <w:t>3</w:t>
      </w:r>
      <w:r w:rsidRPr="007F3E67">
        <w:rPr>
          <w:lang w:val="fr-FR"/>
        </w:rPr>
        <w:fldChar w:fldCharType="end"/>
      </w:r>
      <w:r w:rsidRPr="007F3E67">
        <w:rPr>
          <w:lang w:val="fr-FR"/>
        </w:rPr>
        <w:t>.  </w:t>
      </w:r>
      <w:r w:rsidR="00084ECD" w:rsidRPr="007F3E67">
        <w:rPr>
          <w:lang w:val="fr-FR"/>
        </w:rPr>
        <w:t>L</w:t>
      </w:r>
      <w:r w:rsidR="00E523D6" w:rsidRPr="007F3E67">
        <w:rPr>
          <w:lang w:val="fr-FR"/>
        </w:rPr>
        <w:t xml:space="preserve">es gouvernements </w:t>
      </w:r>
      <w:r w:rsidR="00F019E6" w:rsidRPr="007F3E67">
        <w:rPr>
          <w:lang w:val="fr-FR"/>
        </w:rPr>
        <w:t>allemand, britannique, espagnol, français et suisse</w:t>
      </w:r>
      <w:r w:rsidR="00A0198E" w:rsidRPr="007F3E67">
        <w:rPr>
          <w:lang w:val="fr-FR"/>
        </w:rPr>
        <w:t xml:space="preserve"> </w:t>
      </w:r>
      <w:r w:rsidR="00084ECD" w:rsidRPr="007F3E67">
        <w:rPr>
          <w:lang w:val="fr-FR"/>
        </w:rPr>
        <w:t>n</w:t>
      </w:r>
      <w:r w:rsidR="007F3E67" w:rsidRPr="007F3E67">
        <w:rPr>
          <w:lang w:val="fr-FR"/>
        </w:rPr>
        <w:t>’</w:t>
      </w:r>
      <w:r w:rsidR="00084ECD" w:rsidRPr="007F3E67">
        <w:rPr>
          <w:lang w:val="fr-FR"/>
        </w:rPr>
        <w:t>ont pas exercé leur droit d</w:t>
      </w:r>
      <w:r w:rsidR="007F3E67" w:rsidRPr="007F3E67">
        <w:rPr>
          <w:lang w:val="fr-FR"/>
        </w:rPr>
        <w:t>’</w:t>
      </w:r>
      <w:r w:rsidR="00084ECD" w:rsidRPr="007F3E67">
        <w:rPr>
          <w:lang w:val="fr-FR"/>
        </w:rPr>
        <w:t>intervenir dans la procédure (article 36 § 1 de la Convention)</w:t>
      </w:r>
      <w:r w:rsidR="00F019E6" w:rsidRPr="007F3E67">
        <w:rPr>
          <w:lang w:val="fr-FR"/>
        </w:rPr>
        <w:t>.</w:t>
      </w:r>
    </w:p>
    <w:p w:rsidR="00301040" w:rsidRPr="007F3E67" w:rsidRDefault="00E235F1" w:rsidP="007F3E67">
      <w:pPr>
        <w:pStyle w:val="ECHRPara"/>
        <w:rPr>
          <w:lang w:val="fr-FR"/>
        </w:rPr>
      </w:pPr>
      <w:r w:rsidRPr="007F3E67">
        <w:rPr>
          <w:lang w:val="fr-FR"/>
        </w:rPr>
        <w:fldChar w:fldCharType="begin"/>
      </w:r>
      <w:r w:rsidRPr="007F3E67">
        <w:rPr>
          <w:lang w:val="fr-FR"/>
        </w:rPr>
        <w:instrText xml:space="preserve"> SEQ level0 \*arabic </w:instrText>
      </w:r>
      <w:r w:rsidRPr="007F3E67">
        <w:rPr>
          <w:lang w:val="fr-FR"/>
        </w:rPr>
        <w:fldChar w:fldCharType="separate"/>
      </w:r>
      <w:r w:rsidR="007F3E67" w:rsidRPr="007F3E67">
        <w:rPr>
          <w:noProof/>
          <w:lang w:val="fr-FR"/>
        </w:rPr>
        <w:t>4</w:t>
      </w:r>
      <w:r w:rsidRPr="007F3E67">
        <w:rPr>
          <w:lang w:val="fr-FR"/>
        </w:rPr>
        <w:fldChar w:fldCharType="end"/>
      </w:r>
      <w:r w:rsidRPr="007F3E67">
        <w:rPr>
          <w:lang w:val="fr-FR"/>
        </w:rPr>
        <w:t>.  </w:t>
      </w:r>
      <w:r w:rsidR="00306770" w:rsidRPr="007F3E67">
        <w:rPr>
          <w:lang w:val="fr-FR"/>
        </w:rPr>
        <w:t>Sur le terrain de l</w:t>
      </w:r>
      <w:r w:rsidR="007F3E67" w:rsidRPr="007F3E67">
        <w:rPr>
          <w:lang w:val="fr-FR"/>
        </w:rPr>
        <w:t>’</w:t>
      </w:r>
      <w:r w:rsidR="00306770" w:rsidRPr="007F3E67">
        <w:rPr>
          <w:lang w:val="fr-FR"/>
        </w:rPr>
        <w:t>article 3 de la Convention, l</w:t>
      </w:r>
      <w:r w:rsidRPr="007F3E67">
        <w:rPr>
          <w:lang w:val="fr-FR"/>
        </w:rPr>
        <w:t>es requérants all</w:t>
      </w:r>
      <w:r w:rsidR="00FC2E84" w:rsidRPr="007F3E67">
        <w:rPr>
          <w:lang w:val="fr-FR"/>
        </w:rPr>
        <w:t>é</w:t>
      </w:r>
      <w:r w:rsidRPr="007F3E67">
        <w:rPr>
          <w:lang w:val="fr-FR"/>
        </w:rPr>
        <w:t>gu</w:t>
      </w:r>
      <w:r w:rsidR="00FC2E84" w:rsidRPr="007F3E67">
        <w:rPr>
          <w:lang w:val="fr-FR"/>
        </w:rPr>
        <w:t>ai</w:t>
      </w:r>
      <w:r w:rsidRPr="007F3E67">
        <w:rPr>
          <w:lang w:val="fr-FR"/>
        </w:rPr>
        <w:t xml:space="preserve">ent en particulier </w:t>
      </w:r>
      <w:r w:rsidR="00E523D1" w:rsidRPr="007F3E67">
        <w:rPr>
          <w:lang w:val="fr-FR"/>
        </w:rPr>
        <w:t>avoir été victimes de torture</w:t>
      </w:r>
      <w:r w:rsidR="00510D4C" w:rsidRPr="007F3E67">
        <w:rPr>
          <w:lang w:val="fr-FR"/>
        </w:rPr>
        <w:t>. Ils se plaignaient</w:t>
      </w:r>
      <w:r w:rsidR="00E523D1" w:rsidRPr="007F3E67">
        <w:rPr>
          <w:lang w:val="fr-FR"/>
        </w:rPr>
        <w:t xml:space="preserve"> que les autorités internes n</w:t>
      </w:r>
      <w:r w:rsidR="007F3E67" w:rsidRPr="007F3E67">
        <w:rPr>
          <w:lang w:val="fr-FR"/>
        </w:rPr>
        <w:t>’</w:t>
      </w:r>
      <w:r w:rsidR="00306770" w:rsidRPr="007F3E67">
        <w:rPr>
          <w:lang w:val="fr-FR"/>
        </w:rPr>
        <w:t>avaien</w:t>
      </w:r>
      <w:r w:rsidR="00E523D1" w:rsidRPr="007F3E67">
        <w:rPr>
          <w:lang w:val="fr-FR"/>
        </w:rPr>
        <w:t>t pas respecté leur obligation de mener une enquête effective sur leurs allégations</w:t>
      </w:r>
      <w:r w:rsidRPr="007F3E67">
        <w:rPr>
          <w:lang w:val="fr-FR"/>
        </w:rPr>
        <w:t>.</w:t>
      </w:r>
      <w:r w:rsidR="00E523D1" w:rsidRPr="007F3E67">
        <w:rPr>
          <w:lang w:val="fr-FR"/>
        </w:rPr>
        <w:t xml:space="preserve"> De surcroît, ils </w:t>
      </w:r>
      <w:r w:rsidR="00510D4C" w:rsidRPr="007F3E67">
        <w:rPr>
          <w:lang w:val="fr-FR"/>
        </w:rPr>
        <w:t>dénonçaient</w:t>
      </w:r>
      <w:r w:rsidR="00E523D1" w:rsidRPr="007F3E67">
        <w:rPr>
          <w:lang w:val="fr-FR"/>
        </w:rPr>
        <w:t xml:space="preserve"> l</w:t>
      </w:r>
      <w:r w:rsidR="007F3E67" w:rsidRPr="007F3E67">
        <w:rPr>
          <w:lang w:val="fr-FR"/>
        </w:rPr>
        <w:t>’</w:t>
      </w:r>
      <w:r w:rsidR="00E523D1" w:rsidRPr="007F3E67">
        <w:rPr>
          <w:lang w:val="fr-FR"/>
        </w:rPr>
        <w:t xml:space="preserve">absence </w:t>
      </w:r>
      <w:r w:rsidR="00510D4C" w:rsidRPr="007F3E67">
        <w:rPr>
          <w:lang w:val="fr-FR"/>
        </w:rPr>
        <w:t>en</w:t>
      </w:r>
      <w:r w:rsidR="00261666" w:rsidRPr="007F3E67">
        <w:rPr>
          <w:lang w:val="fr-FR"/>
        </w:rPr>
        <w:t xml:space="preserve"> droit interne </w:t>
      </w:r>
      <w:r w:rsidR="00E523D1" w:rsidRPr="007F3E67">
        <w:rPr>
          <w:lang w:val="fr-FR"/>
        </w:rPr>
        <w:t>d</w:t>
      </w:r>
      <w:r w:rsidR="007F3E67" w:rsidRPr="007F3E67">
        <w:rPr>
          <w:lang w:val="fr-FR"/>
        </w:rPr>
        <w:t>’</w:t>
      </w:r>
      <w:r w:rsidR="00E523D1" w:rsidRPr="007F3E67">
        <w:rPr>
          <w:lang w:val="fr-FR"/>
        </w:rPr>
        <w:t>un délit punissant la torture et les traitements inhumains et dégradants.</w:t>
      </w:r>
    </w:p>
    <w:p w:rsidR="00E77CB3" w:rsidRPr="007F3E67" w:rsidRDefault="00E235F1" w:rsidP="007F3E67">
      <w:pPr>
        <w:pStyle w:val="ECHRPara"/>
        <w:rPr>
          <w:szCs w:val="24"/>
          <w:lang w:val="fr-FR" w:eastAsia="en-GB"/>
        </w:rPr>
      </w:pPr>
      <w:r w:rsidRPr="007F3E67">
        <w:rPr>
          <w:lang w:val="fr-FR"/>
        </w:rPr>
        <w:fldChar w:fldCharType="begin"/>
      </w:r>
      <w:r w:rsidRPr="007F3E67">
        <w:rPr>
          <w:lang w:val="fr-FR"/>
        </w:rPr>
        <w:instrText xml:space="preserve"> SEQ level0 \*arabic </w:instrText>
      </w:r>
      <w:r w:rsidRPr="007F3E67">
        <w:rPr>
          <w:lang w:val="fr-FR"/>
        </w:rPr>
        <w:fldChar w:fldCharType="separate"/>
      </w:r>
      <w:r w:rsidR="007F3E67" w:rsidRPr="007F3E67">
        <w:rPr>
          <w:noProof/>
          <w:lang w:val="fr-FR"/>
        </w:rPr>
        <w:t>5</w:t>
      </w:r>
      <w:r w:rsidRPr="007F3E67">
        <w:rPr>
          <w:lang w:val="fr-FR"/>
        </w:rPr>
        <w:fldChar w:fldCharType="end"/>
      </w:r>
      <w:r w:rsidR="00E77CB3" w:rsidRPr="007F3E67">
        <w:rPr>
          <w:lang w:val="fr-FR"/>
        </w:rPr>
        <w:t>.  </w:t>
      </w:r>
      <w:r w:rsidRPr="007F3E67">
        <w:rPr>
          <w:lang w:val="fr-FR"/>
        </w:rPr>
        <w:t xml:space="preserve">Le </w:t>
      </w:r>
      <w:r w:rsidR="00E523D1" w:rsidRPr="007F3E67">
        <w:rPr>
          <w:lang w:val="fr-FR"/>
        </w:rPr>
        <w:t>18 décembre 2012, l</w:t>
      </w:r>
      <w:r w:rsidR="0085560C" w:rsidRPr="007F3E67">
        <w:rPr>
          <w:lang w:val="fr-FR"/>
        </w:rPr>
        <w:t xml:space="preserve">a chambre a décidé de joindre les </w:t>
      </w:r>
      <w:r w:rsidR="00E523D1" w:rsidRPr="007F3E67">
        <w:rPr>
          <w:lang w:val="fr-FR"/>
        </w:rPr>
        <w:t>r</w:t>
      </w:r>
      <w:r w:rsidRPr="007F3E67">
        <w:rPr>
          <w:lang w:val="fr-FR"/>
        </w:rPr>
        <w:t>equêtes</w:t>
      </w:r>
      <w:r w:rsidR="00903DD5" w:rsidRPr="007F3E67">
        <w:rPr>
          <w:lang w:val="fr-FR"/>
        </w:rPr>
        <w:t xml:space="preserve"> </w:t>
      </w:r>
      <w:r w:rsidR="00F97EB1" w:rsidRPr="007F3E67">
        <w:rPr>
          <w:lang w:val="fr-FR"/>
        </w:rPr>
        <w:t>et de les</w:t>
      </w:r>
      <w:r w:rsidR="00903DD5" w:rsidRPr="007F3E67">
        <w:rPr>
          <w:lang w:val="fr-FR"/>
        </w:rPr>
        <w:t xml:space="preserve"> </w:t>
      </w:r>
      <w:r w:rsidR="00F97EB1" w:rsidRPr="007F3E67">
        <w:rPr>
          <w:lang w:val="fr-FR"/>
        </w:rPr>
        <w:t>communiquer</w:t>
      </w:r>
      <w:r w:rsidRPr="007F3E67">
        <w:rPr>
          <w:lang w:val="fr-FR"/>
        </w:rPr>
        <w:t xml:space="preserve"> au Gouvernement</w:t>
      </w:r>
      <w:r w:rsidR="00F97EB1" w:rsidRPr="007F3E67">
        <w:rPr>
          <w:lang w:val="fr-FR"/>
        </w:rPr>
        <w:t xml:space="preserve"> en application de l</w:t>
      </w:r>
      <w:r w:rsidR="007F3E67" w:rsidRPr="007F3E67">
        <w:rPr>
          <w:lang w:val="fr-FR"/>
        </w:rPr>
        <w:t>’</w:t>
      </w:r>
      <w:r w:rsidR="00F97EB1" w:rsidRPr="007F3E67">
        <w:rPr>
          <w:lang w:val="fr-FR"/>
        </w:rPr>
        <w:t>article 54 § 2 du règlement</w:t>
      </w:r>
      <w:r w:rsidR="00F50DAF" w:rsidRPr="007F3E67">
        <w:rPr>
          <w:lang w:val="fr-FR"/>
        </w:rPr>
        <w:t>.</w:t>
      </w:r>
    </w:p>
    <w:p w:rsidR="00E77CB3" w:rsidRPr="007F3E67" w:rsidRDefault="00E77CB3" w:rsidP="007F3E67">
      <w:pPr>
        <w:pStyle w:val="ECHRTitle1"/>
        <w:tabs>
          <w:tab w:val="left" w:pos="5387"/>
        </w:tabs>
        <w:rPr>
          <w:lang w:val="fr-FR"/>
        </w:rPr>
      </w:pPr>
      <w:r w:rsidRPr="007F3E67">
        <w:rPr>
          <w:lang w:val="fr-FR"/>
        </w:rPr>
        <w:lastRenderedPageBreak/>
        <w:t>EN FAIT</w:t>
      </w:r>
    </w:p>
    <w:p w:rsidR="00E77CB3" w:rsidRPr="007F3E67" w:rsidRDefault="00E77CB3" w:rsidP="007F3E67">
      <w:pPr>
        <w:pStyle w:val="ECHRHeading1"/>
        <w:rPr>
          <w:lang w:val="fr-FR"/>
        </w:rPr>
      </w:pPr>
      <w:r w:rsidRPr="007F3E67">
        <w:rPr>
          <w:lang w:val="fr-FR"/>
        </w:rPr>
        <w:t>I.  LES CIRCONSTANCES DE L</w:t>
      </w:r>
      <w:r w:rsidR="007F3E67" w:rsidRPr="007F3E67">
        <w:rPr>
          <w:lang w:val="fr-FR"/>
        </w:rPr>
        <w:t>’</w:t>
      </w:r>
      <w:r w:rsidRPr="007F3E67">
        <w:rPr>
          <w:lang w:val="fr-FR"/>
        </w:rPr>
        <w:t>ESPÈCE</w:t>
      </w:r>
    </w:p>
    <w:p w:rsidR="00E235F1" w:rsidRPr="007F3E67" w:rsidRDefault="00E235F1" w:rsidP="007F3E67">
      <w:pPr>
        <w:pStyle w:val="ECHRPara"/>
        <w:rPr>
          <w:lang w:val="fr-FR"/>
        </w:rPr>
      </w:pPr>
      <w:r w:rsidRPr="007F3E67">
        <w:rPr>
          <w:lang w:val="fr-FR"/>
        </w:rPr>
        <w:fldChar w:fldCharType="begin"/>
      </w:r>
      <w:r w:rsidRPr="007F3E67">
        <w:rPr>
          <w:lang w:val="fr-FR"/>
        </w:rPr>
        <w:instrText xml:space="preserve"> SEQ level0 \*arabic </w:instrText>
      </w:r>
      <w:r w:rsidRPr="007F3E67">
        <w:rPr>
          <w:lang w:val="fr-FR"/>
        </w:rPr>
        <w:fldChar w:fldCharType="separate"/>
      </w:r>
      <w:r w:rsidR="007F3E67" w:rsidRPr="007F3E67">
        <w:rPr>
          <w:noProof/>
          <w:lang w:val="fr-FR"/>
        </w:rPr>
        <w:t>6</w:t>
      </w:r>
      <w:r w:rsidRPr="007F3E67">
        <w:rPr>
          <w:lang w:val="fr-FR"/>
        </w:rPr>
        <w:fldChar w:fldCharType="end"/>
      </w:r>
      <w:r w:rsidR="00E77CB3" w:rsidRPr="007F3E67">
        <w:rPr>
          <w:lang w:val="fr-FR"/>
        </w:rPr>
        <w:t>.  </w:t>
      </w:r>
      <w:r w:rsidRPr="007F3E67">
        <w:rPr>
          <w:lang w:val="fr-FR"/>
        </w:rPr>
        <w:t>Les faits de la cause, tels qu</w:t>
      </w:r>
      <w:r w:rsidR="007F3E67" w:rsidRPr="007F3E67">
        <w:rPr>
          <w:lang w:val="fr-FR"/>
        </w:rPr>
        <w:t>’</w:t>
      </w:r>
      <w:r w:rsidRPr="007F3E67">
        <w:rPr>
          <w:lang w:val="fr-FR"/>
        </w:rPr>
        <w:t xml:space="preserve">ils ont été exposés par les requérants et </w:t>
      </w:r>
      <w:r w:rsidR="007D6811" w:rsidRPr="007F3E67">
        <w:rPr>
          <w:lang w:val="fr-FR"/>
        </w:rPr>
        <w:t xml:space="preserve">tels </w:t>
      </w:r>
      <w:r w:rsidRPr="007F3E67">
        <w:rPr>
          <w:lang w:val="fr-FR"/>
        </w:rPr>
        <w:t>qu</w:t>
      </w:r>
      <w:r w:rsidR="007F3E67" w:rsidRPr="007F3E67">
        <w:rPr>
          <w:lang w:val="fr-FR"/>
        </w:rPr>
        <w:t>’</w:t>
      </w:r>
      <w:r w:rsidRPr="007F3E67">
        <w:rPr>
          <w:lang w:val="fr-FR"/>
        </w:rPr>
        <w:t xml:space="preserve">ils ressortent </w:t>
      </w:r>
      <w:r w:rsidR="00263420" w:rsidRPr="007F3E67">
        <w:rPr>
          <w:lang w:val="fr-FR"/>
        </w:rPr>
        <w:t xml:space="preserve">des </w:t>
      </w:r>
      <w:r w:rsidR="00C272BE" w:rsidRPr="007F3E67">
        <w:rPr>
          <w:lang w:val="fr-FR"/>
        </w:rPr>
        <w:t xml:space="preserve">documents pertinents </w:t>
      </w:r>
      <w:r w:rsidR="0076790E" w:rsidRPr="007F3E67">
        <w:rPr>
          <w:lang w:val="fr-FR"/>
        </w:rPr>
        <w:t>en l</w:t>
      </w:r>
      <w:r w:rsidR="007F3E67" w:rsidRPr="007F3E67">
        <w:rPr>
          <w:lang w:val="fr-FR"/>
        </w:rPr>
        <w:t>’</w:t>
      </w:r>
      <w:r w:rsidR="0076790E" w:rsidRPr="007F3E67">
        <w:rPr>
          <w:lang w:val="fr-FR"/>
        </w:rPr>
        <w:t>espèce issus de</w:t>
      </w:r>
      <w:r w:rsidR="00C272BE" w:rsidRPr="007F3E67">
        <w:rPr>
          <w:lang w:val="fr-FR"/>
        </w:rPr>
        <w:t xml:space="preserve"> différentes affaires </w:t>
      </w:r>
      <w:r w:rsidR="0076790E" w:rsidRPr="007F3E67">
        <w:rPr>
          <w:lang w:val="fr-FR"/>
        </w:rPr>
        <w:t>liées aux</w:t>
      </w:r>
      <w:r w:rsidR="00C272BE" w:rsidRPr="007F3E67">
        <w:rPr>
          <w:lang w:val="fr-FR"/>
        </w:rPr>
        <w:t xml:space="preserve"> faits à l</w:t>
      </w:r>
      <w:r w:rsidR="007F3E67" w:rsidRPr="007F3E67">
        <w:rPr>
          <w:lang w:val="fr-FR"/>
        </w:rPr>
        <w:t>’</w:t>
      </w:r>
      <w:r w:rsidR="00C272BE" w:rsidRPr="007F3E67">
        <w:rPr>
          <w:lang w:val="fr-FR"/>
        </w:rPr>
        <w:t>origine du présent litige</w:t>
      </w:r>
      <w:r w:rsidR="00F5064B" w:rsidRPr="007F3E67">
        <w:rPr>
          <w:rStyle w:val="Rimandonotaapidipagina"/>
          <w:lang w:val="fr-FR"/>
        </w:rPr>
        <w:footnoteReference w:id="1"/>
      </w:r>
      <w:r w:rsidRPr="007F3E67">
        <w:rPr>
          <w:lang w:val="fr-FR"/>
        </w:rPr>
        <w:t>, peuvent se résumer comme suit.</w:t>
      </w:r>
    </w:p>
    <w:p w:rsidR="00E235F1" w:rsidRPr="007F3E67" w:rsidRDefault="002E0FD1" w:rsidP="007F3E67">
      <w:pPr>
        <w:pStyle w:val="ECHRHeading2"/>
        <w:rPr>
          <w:lang w:val="fr-FR"/>
        </w:rPr>
      </w:pPr>
      <w:r w:rsidRPr="007F3E67">
        <w:rPr>
          <w:lang w:val="fr-FR"/>
        </w:rPr>
        <w:t>A</w:t>
      </w:r>
      <w:r w:rsidR="00E235F1" w:rsidRPr="007F3E67">
        <w:rPr>
          <w:lang w:val="fr-FR"/>
        </w:rPr>
        <w:t>.</w:t>
      </w:r>
      <w:r w:rsidR="0076790E" w:rsidRPr="007F3E67">
        <w:rPr>
          <w:lang w:val="fr-FR"/>
        </w:rPr>
        <w:t>  </w:t>
      </w:r>
      <w:r w:rsidR="00E235F1" w:rsidRPr="007F3E67">
        <w:rPr>
          <w:lang w:val="fr-FR"/>
        </w:rPr>
        <w:t>Le contexte général</w:t>
      </w:r>
    </w:p>
    <w:p w:rsidR="00AD2F80" w:rsidRPr="007F3E67" w:rsidRDefault="00AD2F80" w:rsidP="007F3E67">
      <w:pPr>
        <w:pStyle w:val="ECHRPara"/>
        <w:rPr>
          <w:lang w:val="fr-FR"/>
        </w:rPr>
      </w:pPr>
      <w:r w:rsidRPr="007F3E67">
        <w:rPr>
          <w:lang w:val="fr-FR"/>
        </w:rPr>
        <w:fldChar w:fldCharType="begin"/>
      </w:r>
      <w:r w:rsidRPr="007F3E67">
        <w:rPr>
          <w:lang w:val="fr-FR"/>
        </w:rPr>
        <w:instrText xml:space="preserve"> SEQ level0 \*arabic </w:instrText>
      </w:r>
      <w:r w:rsidRPr="007F3E67">
        <w:rPr>
          <w:lang w:val="fr-FR"/>
        </w:rPr>
        <w:fldChar w:fldCharType="separate"/>
      </w:r>
      <w:r w:rsidR="007F3E67" w:rsidRPr="007F3E67">
        <w:rPr>
          <w:noProof/>
          <w:lang w:val="fr-FR"/>
        </w:rPr>
        <w:t>7</w:t>
      </w:r>
      <w:r w:rsidRPr="007F3E67">
        <w:rPr>
          <w:lang w:val="fr-FR"/>
        </w:rPr>
        <w:fldChar w:fldCharType="end"/>
      </w:r>
      <w:r w:rsidRPr="007F3E67">
        <w:rPr>
          <w:lang w:val="fr-FR"/>
        </w:rPr>
        <w:t>.  Les 19, 20 et 21 juillet 2001, la ville de Gênes accueillit le vingt</w:t>
      </w:r>
      <w:r w:rsidR="000F51B7" w:rsidRPr="007F3E67">
        <w:rPr>
          <w:lang w:val="fr-FR"/>
        </w:rPr>
        <w:noBreakHyphen/>
      </w:r>
      <w:r w:rsidRPr="007F3E67">
        <w:rPr>
          <w:lang w:val="fr-FR"/>
        </w:rPr>
        <w:t>septième sommet des huit pays les plus industrialisés (G8), sous la présidence du gouvernement italien. De nombreuses organisations non gouvernementales, rassemblées sous la bannière du groupe de coordination « Genoa Social Forum – GSF » (« le GSF »), organisèrent un sommet « altermondialiste » qui se déroula à la même période. Il a été estimé que 200 000 personnes (selon le ministère de l</w:t>
      </w:r>
      <w:r w:rsidR="007F3E67" w:rsidRPr="007F3E67">
        <w:rPr>
          <w:lang w:val="fr-FR"/>
        </w:rPr>
        <w:t>’</w:t>
      </w:r>
      <w:r w:rsidRPr="007F3E67">
        <w:rPr>
          <w:lang w:val="fr-FR"/>
        </w:rPr>
        <w:t>Intérieur) à 300 000 personnes (selon le GSF) participèrent à l</w:t>
      </w:r>
      <w:r w:rsidR="007F3E67" w:rsidRPr="007F3E67">
        <w:rPr>
          <w:lang w:val="fr-FR"/>
        </w:rPr>
        <w:t>’</w:t>
      </w:r>
      <w:r w:rsidRPr="007F3E67">
        <w:rPr>
          <w:lang w:val="fr-FR"/>
        </w:rPr>
        <w:t>événement.</w:t>
      </w:r>
    </w:p>
    <w:p w:rsidR="00AD2F80" w:rsidRPr="007F3E67" w:rsidRDefault="00AD2F80" w:rsidP="007F3E67">
      <w:pPr>
        <w:pStyle w:val="ECHRPara"/>
        <w:rPr>
          <w:lang w:val="fr-FR"/>
        </w:rPr>
      </w:pPr>
      <w:r w:rsidRPr="007F3E67">
        <w:rPr>
          <w:lang w:val="fr-FR"/>
        </w:rPr>
        <w:fldChar w:fldCharType="begin"/>
      </w:r>
      <w:r w:rsidRPr="007F3E67">
        <w:rPr>
          <w:lang w:val="fr-FR"/>
        </w:rPr>
        <w:instrText xml:space="preserve"> SEQ level0 \*arabic </w:instrText>
      </w:r>
      <w:r w:rsidRPr="007F3E67">
        <w:rPr>
          <w:lang w:val="fr-FR"/>
        </w:rPr>
        <w:fldChar w:fldCharType="separate"/>
      </w:r>
      <w:r w:rsidR="007F3E67" w:rsidRPr="007F3E67">
        <w:rPr>
          <w:noProof/>
          <w:lang w:val="fr-FR"/>
        </w:rPr>
        <w:t>8</w:t>
      </w:r>
      <w:r w:rsidRPr="007F3E67">
        <w:rPr>
          <w:lang w:val="fr-FR"/>
        </w:rPr>
        <w:fldChar w:fldCharType="end"/>
      </w:r>
      <w:r w:rsidRPr="007F3E67">
        <w:rPr>
          <w:lang w:val="fr-FR"/>
        </w:rPr>
        <w:t xml:space="preserve">.  Un vaste dispositif de sécurité fut mis en place par les autorités italiennes (arrêts </w:t>
      </w:r>
      <w:r w:rsidRPr="007F3E67">
        <w:rPr>
          <w:i/>
          <w:lang w:val="fr-FR"/>
        </w:rPr>
        <w:t>Giuliani et Gaggio c. Italie</w:t>
      </w:r>
      <w:r w:rsidRPr="007F3E67">
        <w:rPr>
          <w:lang w:val="fr-FR"/>
        </w:rPr>
        <w:t xml:space="preserve"> [GC], n</w:t>
      </w:r>
      <w:r w:rsidRPr="007F3E67">
        <w:rPr>
          <w:vertAlign w:val="superscript"/>
          <w:lang w:val="fr-FR"/>
        </w:rPr>
        <w:t>o</w:t>
      </w:r>
      <w:r w:rsidR="007F3E67" w:rsidRPr="007F3E67">
        <w:rPr>
          <w:lang w:val="fr-FR"/>
        </w:rPr>
        <w:t xml:space="preserve"> 23458/02, § 12, CEDH </w:t>
      </w:r>
      <w:r w:rsidRPr="007F3E67">
        <w:rPr>
          <w:lang w:val="fr-FR"/>
        </w:rPr>
        <w:t xml:space="preserve">2011, et </w:t>
      </w:r>
      <w:r w:rsidRPr="007F3E67">
        <w:rPr>
          <w:i/>
          <w:lang w:val="fr-FR"/>
        </w:rPr>
        <w:t>Cestaro c. Italie</w:t>
      </w:r>
      <w:r w:rsidRPr="007F3E67">
        <w:rPr>
          <w:lang w:val="fr-FR"/>
        </w:rPr>
        <w:t>, n</w:t>
      </w:r>
      <w:r w:rsidRPr="007F3E67">
        <w:rPr>
          <w:vertAlign w:val="superscript"/>
          <w:lang w:val="fr-FR"/>
        </w:rPr>
        <w:t>o</w:t>
      </w:r>
      <w:r w:rsidRPr="007F3E67">
        <w:rPr>
          <w:lang w:val="fr-FR"/>
        </w:rPr>
        <w:t xml:space="preserve"> 6884/11, §§ 11-12, 23-24, 7 avril 2015). Celles-ci divisèrent la ville en trois zones concentriques : la « zone rouge », de surveillance maximale, où le sommet devait se dérouler et où les délégations devaient loger ; la « zone jaune », une zone tampon où les manifestations étaient en principe interdites, sauf autorisation du chef du bureau de la police (</w:t>
      </w:r>
      <w:r w:rsidRPr="007F3E67">
        <w:rPr>
          <w:i/>
          <w:lang w:val="fr-FR"/>
        </w:rPr>
        <w:t>questore</w:t>
      </w:r>
      <w:r w:rsidRPr="007F3E67">
        <w:rPr>
          <w:lang w:val="fr-FR"/>
        </w:rPr>
        <w:t>) ; et la « zone blanche », où les principales manifestations étaient programmées.</w:t>
      </w:r>
    </w:p>
    <w:p w:rsidR="00AD2F80" w:rsidRPr="007F3E67" w:rsidRDefault="00AD2F80" w:rsidP="007F3E67">
      <w:pPr>
        <w:pStyle w:val="ECHRPara"/>
        <w:rPr>
          <w:lang w:val="fr-FR"/>
        </w:rPr>
      </w:pPr>
      <w:r w:rsidRPr="007F3E67">
        <w:rPr>
          <w:lang w:val="fr-FR"/>
        </w:rPr>
        <w:fldChar w:fldCharType="begin"/>
      </w:r>
      <w:r w:rsidRPr="007F3E67">
        <w:rPr>
          <w:lang w:val="fr-FR"/>
        </w:rPr>
        <w:instrText xml:space="preserve"> SEQ level0 \*arabic </w:instrText>
      </w:r>
      <w:r w:rsidRPr="007F3E67">
        <w:rPr>
          <w:lang w:val="fr-FR"/>
        </w:rPr>
        <w:fldChar w:fldCharType="separate"/>
      </w:r>
      <w:r w:rsidR="007F3E67" w:rsidRPr="007F3E67">
        <w:rPr>
          <w:noProof/>
          <w:lang w:val="fr-FR"/>
        </w:rPr>
        <w:t>9</w:t>
      </w:r>
      <w:r w:rsidRPr="007F3E67">
        <w:rPr>
          <w:lang w:val="fr-FR"/>
        </w:rPr>
        <w:fldChar w:fldCharType="end"/>
      </w:r>
      <w:r w:rsidRPr="007F3E67">
        <w:rPr>
          <w:lang w:val="fr-FR"/>
        </w:rPr>
        <w:t>.  Les autorités attribuèrent une couleur à chaque groupe organisé, à chaque association, à chaque syndicat et à chaque ONG, en fonction de sa dangerosité potentielle : le « bloc rose », non dangereux ; le « bloc jaune » et le « bloc bleu », considérés comme comprenant des auteurs potentiels d</w:t>
      </w:r>
      <w:r w:rsidR="007F3E67" w:rsidRPr="007F3E67">
        <w:rPr>
          <w:lang w:val="fr-FR"/>
        </w:rPr>
        <w:t>’</w:t>
      </w:r>
      <w:r w:rsidRPr="007F3E67">
        <w:rPr>
          <w:lang w:val="fr-FR"/>
        </w:rPr>
        <w:t>actes de vandalisme, de blocage de rues et de rails, et également d</w:t>
      </w:r>
      <w:r w:rsidR="007F3E67" w:rsidRPr="007F3E67">
        <w:rPr>
          <w:lang w:val="fr-FR"/>
        </w:rPr>
        <w:t>’</w:t>
      </w:r>
      <w:r w:rsidRPr="007F3E67">
        <w:rPr>
          <w:lang w:val="fr-FR"/>
        </w:rPr>
        <w:t>affrontements avec la police ; et enfin, le « bloc noir », dont faisaient partie plusieurs groupes, anarchistes ou plus généralement violents, ayant pour but de commettre des saccages systématiques.</w:t>
      </w:r>
    </w:p>
    <w:p w:rsidR="00AD2F80" w:rsidRPr="007F3E67" w:rsidRDefault="00AD2F80" w:rsidP="007F3E67">
      <w:pPr>
        <w:pStyle w:val="ECHRPara"/>
        <w:rPr>
          <w:lang w:val="fr-FR"/>
        </w:rPr>
      </w:pPr>
      <w:r w:rsidRPr="007F3E67">
        <w:rPr>
          <w:lang w:val="fr-FR"/>
        </w:rPr>
        <w:lastRenderedPageBreak/>
        <w:fldChar w:fldCharType="begin"/>
      </w:r>
      <w:r w:rsidRPr="007F3E67">
        <w:rPr>
          <w:lang w:val="fr-FR"/>
        </w:rPr>
        <w:instrText xml:space="preserve"> SEQ level0 \*arabic </w:instrText>
      </w:r>
      <w:r w:rsidRPr="007F3E67">
        <w:rPr>
          <w:lang w:val="fr-FR"/>
        </w:rPr>
        <w:fldChar w:fldCharType="separate"/>
      </w:r>
      <w:r w:rsidR="007F3E67" w:rsidRPr="007F3E67">
        <w:rPr>
          <w:noProof/>
          <w:lang w:val="fr-FR"/>
        </w:rPr>
        <w:t>10</w:t>
      </w:r>
      <w:r w:rsidRPr="007F3E67">
        <w:rPr>
          <w:lang w:val="fr-FR"/>
        </w:rPr>
        <w:fldChar w:fldCharType="end"/>
      </w:r>
      <w:r w:rsidRPr="007F3E67">
        <w:rPr>
          <w:lang w:val="fr-FR"/>
        </w:rPr>
        <w:t>.  La journée du 19 juillet se déroula dans une ambiance relativement calme, sans épisodes particulièrement significatifs. Par contre, les journées des 20 et 21 juillet furent marquées par des accrochages de plus en plus violents entre les forces de police et certains manifestants appartenant essentiellement au « bloc noir ». Au cours de ces incidents, plusieurs centaines de manifestants et de membres des forces de l</w:t>
      </w:r>
      <w:r w:rsidR="007F3E67" w:rsidRPr="007F3E67">
        <w:rPr>
          <w:lang w:val="fr-FR"/>
        </w:rPr>
        <w:t>’</w:t>
      </w:r>
      <w:r w:rsidRPr="007F3E67">
        <w:rPr>
          <w:lang w:val="fr-FR"/>
        </w:rPr>
        <w:t xml:space="preserve">ordre furent blessés ou intoxiqués par du gaz lacrymogènes. Des quartiers entiers de la ville de Gênes furent dévastés (pour une analyse plus détaillée, voir </w:t>
      </w:r>
      <w:r w:rsidR="007F3E67" w:rsidRPr="007F3E67">
        <w:rPr>
          <w:i/>
          <w:lang w:val="fr-FR"/>
        </w:rPr>
        <w:t>Giuliani et </w:t>
      </w:r>
      <w:r w:rsidRPr="007F3E67">
        <w:rPr>
          <w:i/>
          <w:lang w:val="fr-FR"/>
        </w:rPr>
        <w:t>Gaggio</w:t>
      </w:r>
      <w:r w:rsidRPr="007F3E67">
        <w:rPr>
          <w:lang w:val="fr-FR"/>
        </w:rPr>
        <w:t xml:space="preserve">, précité, §§ 12-30, et </w:t>
      </w:r>
      <w:r w:rsidRPr="007F3E67">
        <w:rPr>
          <w:i/>
          <w:lang w:val="fr-FR"/>
        </w:rPr>
        <w:t>Cestaro</w:t>
      </w:r>
      <w:r w:rsidRPr="007F3E67">
        <w:rPr>
          <w:lang w:val="fr-FR"/>
        </w:rPr>
        <w:t>,</w:t>
      </w:r>
      <w:r w:rsidRPr="007F3E67">
        <w:rPr>
          <w:i/>
          <w:lang w:val="fr-FR"/>
        </w:rPr>
        <w:t xml:space="preserve"> </w:t>
      </w:r>
      <w:r w:rsidRPr="007F3E67">
        <w:rPr>
          <w:lang w:val="fr-FR"/>
        </w:rPr>
        <w:t>précité, §§ 9-17).</w:t>
      </w:r>
    </w:p>
    <w:p w:rsidR="00E235F1" w:rsidRPr="007F3E67" w:rsidRDefault="002E0FD1" w:rsidP="007F3E67">
      <w:pPr>
        <w:pStyle w:val="ECHRHeading2"/>
        <w:rPr>
          <w:lang w:val="fr-FR"/>
        </w:rPr>
      </w:pPr>
      <w:r w:rsidRPr="007F3E67">
        <w:rPr>
          <w:lang w:val="fr-FR"/>
        </w:rPr>
        <w:t>B</w:t>
      </w:r>
      <w:r w:rsidR="00E235F1" w:rsidRPr="007F3E67">
        <w:rPr>
          <w:lang w:val="fr-FR"/>
        </w:rPr>
        <w:t>.</w:t>
      </w:r>
      <w:r w:rsidR="00ED4CEA" w:rsidRPr="007F3E67">
        <w:rPr>
          <w:lang w:val="fr-FR"/>
        </w:rPr>
        <w:t>  </w:t>
      </w:r>
      <w:r w:rsidR="00E235F1" w:rsidRPr="007F3E67">
        <w:rPr>
          <w:lang w:val="fr-FR"/>
        </w:rPr>
        <w:t>Les traitements subis par les requérants à la caserne de Bolzaneto</w:t>
      </w:r>
    </w:p>
    <w:p w:rsidR="004318F8" w:rsidRPr="007F3E67" w:rsidRDefault="00E235F1" w:rsidP="007F3E67">
      <w:pPr>
        <w:pStyle w:val="ECHRPara"/>
        <w:rPr>
          <w:lang w:val="fr-FR" w:eastAsia="fr-FR"/>
        </w:rPr>
      </w:pPr>
      <w:r w:rsidRPr="007F3E67">
        <w:rPr>
          <w:lang w:val="fr-FR"/>
        </w:rPr>
        <w:fldChar w:fldCharType="begin"/>
      </w:r>
      <w:r w:rsidRPr="007F3E67">
        <w:rPr>
          <w:lang w:val="fr-FR"/>
        </w:rPr>
        <w:instrText xml:space="preserve"> SEQ level0 \*arabic </w:instrText>
      </w:r>
      <w:r w:rsidRPr="007F3E67">
        <w:rPr>
          <w:lang w:val="fr-FR"/>
        </w:rPr>
        <w:fldChar w:fldCharType="separate"/>
      </w:r>
      <w:r w:rsidR="007F3E67" w:rsidRPr="007F3E67">
        <w:rPr>
          <w:noProof/>
          <w:lang w:val="fr-FR"/>
        </w:rPr>
        <w:t>11</w:t>
      </w:r>
      <w:r w:rsidRPr="007F3E67">
        <w:rPr>
          <w:lang w:val="fr-FR"/>
        </w:rPr>
        <w:fldChar w:fldCharType="end"/>
      </w:r>
      <w:r w:rsidRPr="007F3E67">
        <w:rPr>
          <w:lang w:val="fr-FR"/>
        </w:rPr>
        <w:t>.  </w:t>
      </w:r>
      <w:r w:rsidR="004318F8" w:rsidRPr="007F3E67">
        <w:rPr>
          <w:lang w:val="fr-FR" w:eastAsia="fr-FR"/>
        </w:rPr>
        <w:t>Le 12 juin 2001, le Comité provincial pour l</w:t>
      </w:r>
      <w:r w:rsidR="007F3E67" w:rsidRPr="007F3E67">
        <w:rPr>
          <w:lang w:val="fr-FR" w:eastAsia="fr-FR"/>
        </w:rPr>
        <w:t>’</w:t>
      </w:r>
      <w:r w:rsidR="004318F8" w:rsidRPr="007F3E67">
        <w:rPr>
          <w:lang w:val="fr-FR" w:eastAsia="fr-FR"/>
        </w:rPr>
        <w:t>ordre et la sécurité publique élabora un plan logistique relatif à la prise en charge des personnes arrêtées pendant le sommet.</w:t>
      </w:r>
    </w:p>
    <w:p w:rsidR="004318F8" w:rsidRPr="007F3E67" w:rsidRDefault="004318F8" w:rsidP="007F3E67">
      <w:pPr>
        <w:pStyle w:val="ECHRPara"/>
        <w:rPr>
          <w:lang w:val="fr-FR" w:eastAsia="fr-FR"/>
        </w:rPr>
      </w:pPr>
      <w:r w:rsidRPr="007F3E67">
        <w:rPr>
          <w:lang w:val="fr-FR" w:eastAsia="fr-FR"/>
        </w:rPr>
        <w:fldChar w:fldCharType="begin"/>
      </w:r>
      <w:r w:rsidRPr="007F3E67">
        <w:rPr>
          <w:lang w:val="fr-FR" w:eastAsia="fr-FR"/>
        </w:rPr>
        <w:instrText xml:space="preserve"> SEQ level0 \*arabic </w:instrText>
      </w:r>
      <w:r w:rsidRPr="007F3E67">
        <w:rPr>
          <w:lang w:val="fr-FR" w:eastAsia="fr-FR"/>
        </w:rPr>
        <w:fldChar w:fldCharType="separate"/>
      </w:r>
      <w:r w:rsidR="007F3E67" w:rsidRPr="007F3E67">
        <w:rPr>
          <w:noProof/>
          <w:lang w:val="fr-FR" w:eastAsia="fr-FR"/>
        </w:rPr>
        <w:t>12</w:t>
      </w:r>
      <w:r w:rsidRPr="007F3E67">
        <w:rPr>
          <w:lang w:val="fr-FR" w:eastAsia="fr-FR"/>
        </w:rPr>
        <w:fldChar w:fldCharType="end"/>
      </w:r>
      <w:r w:rsidRPr="007F3E67">
        <w:rPr>
          <w:lang w:val="fr-FR" w:eastAsia="fr-FR"/>
        </w:rPr>
        <w:t xml:space="preserve">.  La prison de Marassi se trouvant dans une zone considérée comme sensible, il fut décidé, pour des raisons de sécurité, de créer, dans des lieux excentrés, deux centres temporaires </w:t>
      </w:r>
      <w:r w:rsidRPr="007F3E67">
        <w:rPr>
          <w:lang w:val="fr-FR"/>
        </w:rPr>
        <w:t>où les personnes arrêtées devaient être regroupées pour être soumises aux</w:t>
      </w:r>
      <w:r w:rsidRPr="007F3E67">
        <w:rPr>
          <w:lang w:val="fr-FR" w:eastAsia="fr-FR"/>
        </w:rPr>
        <w:t xml:space="preserve"> démarches consécutives à</w:t>
      </w:r>
      <w:r w:rsidRPr="007F3E67">
        <w:rPr>
          <w:lang w:val="fr-FR"/>
        </w:rPr>
        <w:t xml:space="preserve"> une arrestation, à savoir l</w:t>
      </w:r>
      <w:r w:rsidR="007F3E67" w:rsidRPr="007F3E67">
        <w:rPr>
          <w:lang w:val="fr-FR"/>
        </w:rPr>
        <w:t>’</w:t>
      </w:r>
      <w:r w:rsidRPr="007F3E67">
        <w:rPr>
          <w:lang w:val="fr-FR"/>
        </w:rPr>
        <w:t>identification, la notification du procès-verbal d</w:t>
      </w:r>
      <w:r w:rsidR="007F3E67" w:rsidRPr="007F3E67">
        <w:rPr>
          <w:lang w:val="fr-FR"/>
        </w:rPr>
        <w:t>’</w:t>
      </w:r>
      <w:r w:rsidRPr="007F3E67">
        <w:rPr>
          <w:lang w:val="fr-FR"/>
        </w:rPr>
        <w:t>arrestation, la fouille, l</w:t>
      </w:r>
      <w:r w:rsidR="007F3E67" w:rsidRPr="007F3E67">
        <w:rPr>
          <w:lang w:val="fr-FR"/>
        </w:rPr>
        <w:t>’</w:t>
      </w:r>
      <w:r w:rsidRPr="007F3E67">
        <w:rPr>
          <w:lang w:val="fr-FR"/>
        </w:rPr>
        <w:t>immatriculation et la visite médicale, avant d</w:t>
      </w:r>
      <w:r w:rsidR="007F3E67" w:rsidRPr="007F3E67">
        <w:rPr>
          <w:lang w:val="fr-FR"/>
        </w:rPr>
        <w:t>’</w:t>
      </w:r>
      <w:r w:rsidRPr="007F3E67">
        <w:rPr>
          <w:lang w:val="fr-FR"/>
        </w:rPr>
        <w:t>être transférées</w:t>
      </w:r>
      <w:r w:rsidRPr="007F3E67">
        <w:rPr>
          <w:lang w:val="fr-FR" w:eastAsia="fr-FR"/>
        </w:rPr>
        <w:t xml:space="preserve"> vers différentes prisons.</w:t>
      </w:r>
    </w:p>
    <w:p w:rsidR="004318F8" w:rsidRPr="007F3E67" w:rsidRDefault="004318F8" w:rsidP="007F3E67">
      <w:pPr>
        <w:pStyle w:val="ECHRPara"/>
        <w:rPr>
          <w:lang w:val="fr-FR" w:eastAsia="fr-FR"/>
        </w:rPr>
      </w:pPr>
      <w:r w:rsidRPr="007F3E67">
        <w:rPr>
          <w:lang w:val="fr-FR" w:eastAsia="fr-FR"/>
        </w:rPr>
        <w:fldChar w:fldCharType="begin"/>
      </w:r>
      <w:r w:rsidRPr="007F3E67">
        <w:rPr>
          <w:lang w:val="fr-FR" w:eastAsia="fr-FR"/>
        </w:rPr>
        <w:instrText xml:space="preserve"> SEQ level0 \*arabic </w:instrText>
      </w:r>
      <w:r w:rsidRPr="007F3E67">
        <w:rPr>
          <w:lang w:val="fr-FR" w:eastAsia="fr-FR"/>
        </w:rPr>
        <w:fldChar w:fldCharType="separate"/>
      </w:r>
      <w:r w:rsidR="007F3E67" w:rsidRPr="007F3E67">
        <w:rPr>
          <w:noProof/>
          <w:lang w:val="fr-FR" w:eastAsia="fr-FR"/>
        </w:rPr>
        <w:t>13</w:t>
      </w:r>
      <w:r w:rsidRPr="007F3E67">
        <w:rPr>
          <w:lang w:val="fr-FR" w:eastAsia="fr-FR"/>
        </w:rPr>
        <w:fldChar w:fldCharType="end"/>
      </w:r>
      <w:r w:rsidRPr="007F3E67">
        <w:rPr>
          <w:lang w:val="fr-FR" w:eastAsia="fr-FR"/>
        </w:rPr>
        <w:t>.  Par un arrêté du ministère de la Justice du 12 juillet 2001, les casernes de Forte San Giuliano et de Bolzaneto furent désignées comme étant des « sites utilisés à des fins de détention, annexes du bureau médical et du bureau matricule (</w:t>
      </w:r>
      <w:r w:rsidRPr="007F3E67">
        <w:rPr>
          <w:i/>
          <w:lang w:val="fr-FR" w:eastAsia="fr-FR"/>
        </w:rPr>
        <w:t>ufficio matricola</w:t>
      </w:r>
      <w:r w:rsidRPr="007F3E67">
        <w:rPr>
          <w:lang w:val="fr-FR" w:eastAsia="fr-FR"/>
        </w:rPr>
        <w:t>) des établissements pénitentiaires de Pavie, Voghera, Vercelli et Ale</w:t>
      </w:r>
      <w:r w:rsidR="00FF4DD3" w:rsidRPr="007F3E67">
        <w:rPr>
          <w:lang w:val="fr-FR" w:eastAsia="fr-FR"/>
        </w:rPr>
        <w:t>xandrie</w:t>
      </w:r>
      <w:r w:rsidRPr="007F3E67">
        <w:rPr>
          <w:i/>
          <w:lang w:val="fr-FR" w:eastAsia="fr-FR"/>
        </w:rPr>
        <w:t> </w:t>
      </w:r>
      <w:r w:rsidRPr="007F3E67">
        <w:rPr>
          <w:lang w:val="fr-FR" w:eastAsia="fr-FR"/>
        </w:rPr>
        <w:t>».</w:t>
      </w:r>
    </w:p>
    <w:p w:rsidR="004318F8" w:rsidRPr="007F3E67" w:rsidRDefault="004318F8" w:rsidP="007F3E67">
      <w:pPr>
        <w:pStyle w:val="ECHRPara"/>
        <w:rPr>
          <w:lang w:val="fr-FR"/>
        </w:rPr>
      </w:pPr>
      <w:r w:rsidRPr="007F3E67">
        <w:rPr>
          <w:lang w:val="fr-FR" w:eastAsia="fr-FR"/>
        </w:rPr>
        <w:fldChar w:fldCharType="begin"/>
      </w:r>
      <w:r w:rsidRPr="007F3E67">
        <w:rPr>
          <w:lang w:val="fr-FR" w:eastAsia="fr-FR"/>
        </w:rPr>
        <w:instrText xml:space="preserve"> SEQ level0 \*arabic </w:instrText>
      </w:r>
      <w:r w:rsidRPr="007F3E67">
        <w:rPr>
          <w:lang w:val="fr-FR" w:eastAsia="fr-FR"/>
        </w:rPr>
        <w:fldChar w:fldCharType="separate"/>
      </w:r>
      <w:r w:rsidR="007F3E67" w:rsidRPr="007F3E67">
        <w:rPr>
          <w:noProof/>
          <w:lang w:val="fr-FR" w:eastAsia="fr-FR"/>
        </w:rPr>
        <w:t>14</w:t>
      </w:r>
      <w:r w:rsidRPr="007F3E67">
        <w:rPr>
          <w:lang w:val="fr-FR" w:eastAsia="fr-FR"/>
        </w:rPr>
        <w:fldChar w:fldCharType="end"/>
      </w:r>
      <w:r w:rsidRPr="007F3E67">
        <w:rPr>
          <w:lang w:val="fr-FR" w:eastAsia="fr-FR"/>
        </w:rPr>
        <w:t>.  À l</w:t>
      </w:r>
      <w:r w:rsidR="007F3E67" w:rsidRPr="007F3E67">
        <w:rPr>
          <w:lang w:val="fr-FR" w:eastAsia="fr-FR"/>
        </w:rPr>
        <w:t>’</w:t>
      </w:r>
      <w:r w:rsidRPr="007F3E67">
        <w:rPr>
          <w:lang w:val="fr-FR" w:eastAsia="fr-FR"/>
        </w:rPr>
        <w:t>intérieur de la caserne de Bolzaneto, une partie des locaux fut affectée</w:t>
      </w:r>
      <w:r w:rsidRPr="007F3E67">
        <w:rPr>
          <w:color w:val="FF0000"/>
          <w:lang w:val="fr-FR" w:eastAsia="fr-FR"/>
        </w:rPr>
        <w:t xml:space="preserve"> </w:t>
      </w:r>
      <w:r w:rsidRPr="007F3E67">
        <w:rPr>
          <w:lang w:val="fr-FR" w:eastAsia="fr-FR"/>
        </w:rPr>
        <w:t>aux activités de la police judiciaire. Le restant des locaux fut réservé aux activités de la police pénitentiaire (immatriculation, fouille et visite médicale).</w:t>
      </w:r>
    </w:p>
    <w:p w:rsidR="004318F8" w:rsidRPr="007F3E67" w:rsidRDefault="004318F8" w:rsidP="007F3E67">
      <w:pPr>
        <w:pStyle w:val="ECHRPara"/>
        <w:rPr>
          <w:lang w:val="fr-FR" w:eastAsia="fr-FR"/>
        </w:rPr>
      </w:pPr>
      <w:r w:rsidRPr="007F3E67">
        <w:rPr>
          <w:lang w:val="fr-FR" w:eastAsia="fr-FR"/>
        </w:rPr>
        <w:fldChar w:fldCharType="begin"/>
      </w:r>
      <w:r w:rsidRPr="007F3E67">
        <w:rPr>
          <w:lang w:val="fr-FR" w:eastAsia="fr-FR"/>
        </w:rPr>
        <w:instrText xml:space="preserve"> SEQ level0 \*arabic </w:instrText>
      </w:r>
      <w:r w:rsidRPr="007F3E67">
        <w:rPr>
          <w:lang w:val="fr-FR" w:eastAsia="fr-FR"/>
        </w:rPr>
        <w:fldChar w:fldCharType="separate"/>
      </w:r>
      <w:r w:rsidR="007F3E67" w:rsidRPr="007F3E67">
        <w:rPr>
          <w:noProof/>
          <w:lang w:val="fr-FR" w:eastAsia="fr-FR"/>
        </w:rPr>
        <w:t>15</w:t>
      </w:r>
      <w:r w:rsidRPr="007F3E67">
        <w:rPr>
          <w:lang w:val="fr-FR" w:eastAsia="fr-FR"/>
        </w:rPr>
        <w:fldChar w:fldCharType="end"/>
      </w:r>
      <w:r w:rsidRPr="007F3E67">
        <w:rPr>
          <w:lang w:val="fr-FR" w:eastAsia="fr-FR"/>
        </w:rPr>
        <w:t>.  </w:t>
      </w:r>
      <w:r w:rsidRPr="007F3E67">
        <w:rPr>
          <w:lang w:val="fr-FR"/>
        </w:rPr>
        <w:t>À la suite du décès de Carlo Giuliani au cours des heurts entre carabiniers et manifestants sur la place Alimonda, les carabiniers ne furent plus affectés aux activités de gestion de l</w:t>
      </w:r>
      <w:r w:rsidR="007F3E67" w:rsidRPr="007F3E67">
        <w:rPr>
          <w:lang w:val="fr-FR"/>
        </w:rPr>
        <w:t>’</w:t>
      </w:r>
      <w:r w:rsidRPr="007F3E67">
        <w:rPr>
          <w:lang w:val="fr-FR"/>
        </w:rPr>
        <w:t>ordre public dans la ville. À partir du 20 juillet, la caserne de Bolzaneto, placée sous la responsabilité de la police, resta ainsi le seul lieu de regroupement et de répartition des personnes arrêtées.</w:t>
      </w:r>
    </w:p>
    <w:p w:rsidR="00E235F1" w:rsidRPr="007F3E67" w:rsidRDefault="004318F8" w:rsidP="007F3E67">
      <w:pPr>
        <w:pStyle w:val="ECHRPara"/>
        <w:rPr>
          <w:lang w:val="fr-FR"/>
        </w:rPr>
      </w:pPr>
      <w:r w:rsidRPr="007F3E67">
        <w:rPr>
          <w:lang w:val="fr-FR" w:eastAsia="fr-FR"/>
        </w:rPr>
        <w:fldChar w:fldCharType="begin"/>
      </w:r>
      <w:r w:rsidRPr="007F3E67">
        <w:rPr>
          <w:lang w:val="fr-FR" w:eastAsia="fr-FR"/>
        </w:rPr>
        <w:instrText xml:space="preserve"> SEQ level0 \*arabic </w:instrText>
      </w:r>
      <w:r w:rsidRPr="007F3E67">
        <w:rPr>
          <w:lang w:val="fr-FR" w:eastAsia="fr-FR"/>
        </w:rPr>
        <w:fldChar w:fldCharType="separate"/>
      </w:r>
      <w:r w:rsidR="007F3E67" w:rsidRPr="007F3E67">
        <w:rPr>
          <w:noProof/>
          <w:lang w:val="fr-FR" w:eastAsia="fr-FR"/>
        </w:rPr>
        <w:t>16</w:t>
      </w:r>
      <w:r w:rsidRPr="007F3E67">
        <w:rPr>
          <w:lang w:val="fr-FR" w:eastAsia="fr-FR"/>
        </w:rPr>
        <w:fldChar w:fldCharType="end"/>
      </w:r>
      <w:r w:rsidRPr="007F3E67">
        <w:rPr>
          <w:lang w:val="fr-FR" w:eastAsia="fr-FR"/>
        </w:rPr>
        <w:t>.  Selon le ministère de la Justice, pendant la période d</w:t>
      </w:r>
      <w:r w:rsidR="007F3E67" w:rsidRPr="007F3E67">
        <w:rPr>
          <w:lang w:val="fr-FR" w:eastAsia="fr-FR"/>
        </w:rPr>
        <w:t>’</w:t>
      </w:r>
      <w:r w:rsidRPr="007F3E67">
        <w:rPr>
          <w:lang w:val="fr-FR" w:eastAsia="fr-FR"/>
        </w:rPr>
        <w:t>activité de la structure, du 12 au 24 juillet, 222 personnes ont été immatriculées avant leur transfert vers les prisons d</w:t>
      </w:r>
      <w:r w:rsidR="007F3E67" w:rsidRPr="007F3E67">
        <w:rPr>
          <w:lang w:val="fr-FR" w:eastAsia="fr-FR"/>
        </w:rPr>
        <w:t>’</w:t>
      </w:r>
      <w:r w:rsidRPr="007F3E67">
        <w:rPr>
          <w:lang w:val="fr-FR" w:eastAsia="fr-FR"/>
        </w:rPr>
        <w:t>Ale</w:t>
      </w:r>
      <w:r w:rsidR="00FF4DD3" w:rsidRPr="007F3E67">
        <w:rPr>
          <w:lang w:val="fr-FR" w:eastAsia="fr-FR"/>
        </w:rPr>
        <w:t>xandrie</w:t>
      </w:r>
      <w:r w:rsidRPr="007F3E67">
        <w:rPr>
          <w:lang w:val="fr-FR" w:eastAsia="fr-FR"/>
        </w:rPr>
        <w:t>, Pavie, Vercelli et Voghera (voir le « Rapport final de l</w:t>
      </w:r>
      <w:r w:rsidR="007F3E67" w:rsidRPr="007F3E67">
        <w:rPr>
          <w:lang w:val="fr-FR" w:eastAsia="fr-FR"/>
        </w:rPr>
        <w:t>’</w:t>
      </w:r>
      <w:r w:rsidRPr="007F3E67">
        <w:rPr>
          <w:lang w:val="fr-FR" w:eastAsia="fr-FR"/>
        </w:rPr>
        <w:t>enquête parlementaire d</w:t>
      </w:r>
      <w:r w:rsidR="007F3E67" w:rsidRPr="007F3E67">
        <w:rPr>
          <w:lang w:val="fr-FR" w:eastAsia="fr-FR"/>
        </w:rPr>
        <w:t>’</w:t>
      </w:r>
      <w:r w:rsidRPr="007F3E67">
        <w:rPr>
          <w:lang w:val="fr-FR" w:eastAsia="fr-FR"/>
        </w:rPr>
        <w:t>information sur les faits survenus lors du G8 de Gênes du 20 septembre 2001 »</w:t>
      </w:r>
      <w:r w:rsidR="00EC3064" w:rsidRPr="007F3E67">
        <w:rPr>
          <w:lang w:val="fr-FR" w:eastAsia="fr-FR"/>
        </w:rPr>
        <w:t xml:space="preserve"> </w:t>
      </w:r>
      <w:r w:rsidR="00421F79" w:rsidRPr="007F3E67">
        <w:rPr>
          <w:lang w:val="fr-FR" w:eastAsia="fr-FR"/>
        </w:rPr>
        <w:t xml:space="preserve">mentioné </w:t>
      </w:r>
      <w:r w:rsidR="00EC3064" w:rsidRPr="007F3E67">
        <w:rPr>
          <w:lang w:val="fr-FR" w:eastAsia="fr-FR"/>
        </w:rPr>
        <w:t>dans la note en bas de la page précédente</w:t>
      </w:r>
      <w:r w:rsidRPr="007F3E67">
        <w:rPr>
          <w:lang w:val="fr-FR" w:eastAsia="fr-FR"/>
        </w:rPr>
        <w:t>)</w:t>
      </w:r>
      <w:r w:rsidR="00E235F1" w:rsidRPr="007F3E67">
        <w:rPr>
          <w:lang w:val="fr-FR"/>
        </w:rPr>
        <w:t>.</w:t>
      </w:r>
    </w:p>
    <w:p w:rsidR="006F73F3" w:rsidRPr="007F3E67" w:rsidRDefault="004318F8" w:rsidP="007F3E67">
      <w:pPr>
        <w:pStyle w:val="ECHRPara"/>
        <w:rPr>
          <w:lang w:val="fr-FR"/>
        </w:rPr>
      </w:pPr>
      <w:r w:rsidRPr="007F3E67">
        <w:rPr>
          <w:lang w:val="fr-FR" w:eastAsia="fr-FR"/>
        </w:rPr>
        <w:lastRenderedPageBreak/>
        <w:fldChar w:fldCharType="begin"/>
      </w:r>
      <w:r w:rsidRPr="007F3E67">
        <w:rPr>
          <w:lang w:val="fr-FR" w:eastAsia="fr-FR"/>
        </w:rPr>
        <w:instrText xml:space="preserve"> SEQ level0 \*arabic </w:instrText>
      </w:r>
      <w:r w:rsidRPr="007F3E67">
        <w:rPr>
          <w:lang w:val="fr-FR" w:eastAsia="fr-FR"/>
        </w:rPr>
        <w:fldChar w:fldCharType="separate"/>
      </w:r>
      <w:r w:rsidR="007F3E67" w:rsidRPr="007F3E67">
        <w:rPr>
          <w:noProof/>
          <w:lang w:val="fr-FR" w:eastAsia="fr-FR"/>
        </w:rPr>
        <w:t>17</w:t>
      </w:r>
      <w:r w:rsidRPr="007F3E67">
        <w:rPr>
          <w:lang w:val="fr-FR" w:eastAsia="fr-FR"/>
        </w:rPr>
        <w:fldChar w:fldCharType="end"/>
      </w:r>
      <w:r w:rsidRPr="007F3E67">
        <w:rPr>
          <w:lang w:val="fr-FR" w:eastAsia="fr-FR"/>
        </w:rPr>
        <w:t>.  </w:t>
      </w:r>
      <w:r w:rsidR="006F73F3" w:rsidRPr="007F3E67">
        <w:rPr>
          <w:lang w:val="fr-FR" w:eastAsia="fr-FR"/>
        </w:rPr>
        <w:t>Les tribunaux internes ont établi avec exactitude, au-delà de tout doute raisonnable, les mauvais traitements dont avaient fait l</w:t>
      </w:r>
      <w:r w:rsidR="007F3E67" w:rsidRPr="007F3E67">
        <w:rPr>
          <w:lang w:val="fr-FR" w:eastAsia="fr-FR"/>
        </w:rPr>
        <w:t>’</w:t>
      </w:r>
      <w:r w:rsidR="006F73F3" w:rsidRPr="007F3E67">
        <w:rPr>
          <w:lang w:val="fr-FR" w:eastAsia="fr-FR"/>
        </w:rPr>
        <w:t>objet les personnes présentes à l</w:t>
      </w:r>
      <w:r w:rsidR="007F3E67" w:rsidRPr="007F3E67">
        <w:rPr>
          <w:lang w:val="fr-FR" w:eastAsia="fr-FR"/>
        </w:rPr>
        <w:t>’</w:t>
      </w:r>
      <w:r w:rsidR="006F73F3" w:rsidRPr="007F3E67">
        <w:rPr>
          <w:lang w:val="fr-FR" w:eastAsia="fr-FR"/>
        </w:rPr>
        <w:t>intérieur de la caserne de Bolzaneto. Les témoignages des victimes ont été confirmés par les dépositions des membres des forces de l</w:t>
      </w:r>
      <w:r w:rsidR="007F3E67" w:rsidRPr="007F3E67">
        <w:rPr>
          <w:lang w:val="fr-FR" w:eastAsia="fr-FR"/>
        </w:rPr>
        <w:t>’</w:t>
      </w:r>
      <w:r w:rsidR="006F73F3" w:rsidRPr="007F3E67">
        <w:rPr>
          <w:lang w:val="fr-FR" w:eastAsia="fr-FR"/>
        </w:rPr>
        <w:t>ordre et de l</w:t>
      </w:r>
      <w:r w:rsidR="007F3E67" w:rsidRPr="007F3E67">
        <w:rPr>
          <w:lang w:val="fr-FR" w:eastAsia="fr-FR"/>
        </w:rPr>
        <w:t>’</w:t>
      </w:r>
      <w:r w:rsidR="006F73F3" w:rsidRPr="007F3E67">
        <w:rPr>
          <w:lang w:val="fr-FR" w:eastAsia="fr-FR"/>
        </w:rPr>
        <w:t>administration publique, les reconnaissances partielles des faits par les accusés ainsi que par les documents à disposition des magistrats, notamment les rapports médicaux et les expertises judiciaires. À partir de cette multitude d</w:t>
      </w:r>
      <w:r w:rsidR="007F3E67" w:rsidRPr="007F3E67">
        <w:rPr>
          <w:lang w:val="fr-FR" w:eastAsia="fr-FR"/>
        </w:rPr>
        <w:t>’</w:t>
      </w:r>
      <w:r w:rsidR="006F73F3" w:rsidRPr="007F3E67">
        <w:rPr>
          <w:lang w:val="fr-FR" w:eastAsia="fr-FR"/>
        </w:rPr>
        <w:t>informations, il est possible de décrire les épisodes de violence dont les requérants firent l</w:t>
      </w:r>
      <w:r w:rsidR="007F3E67" w:rsidRPr="007F3E67">
        <w:rPr>
          <w:lang w:val="fr-FR" w:eastAsia="fr-FR"/>
        </w:rPr>
        <w:t>’</w:t>
      </w:r>
      <w:r w:rsidR="006F73F3" w:rsidRPr="007F3E67">
        <w:rPr>
          <w:lang w:val="fr-FR" w:eastAsia="fr-FR"/>
        </w:rPr>
        <w:t>objet</w:t>
      </w:r>
      <w:r w:rsidR="006F73F3" w:rsidRPr="007F3E67">
        <w:rPr>
          <w:lang w:val="fr-FR"/>
        </w:rPr>
        <w:t> :</w:t>
      </w:r>
    </w:p>
    <w:p w:rsidR="00E235F1" w:rsidRPr="007F3E67" w:rsidRDefault="00681EA4" w:rsidP="007F3E67">
      <w:pPr>
        <w:pStyle w:val="ECHRHeading3"/>
        <w:rPr>
          <w:lang w:val="fr-FR"/>
        </w:rPr>
      </w:pPr>
      <w:r w:rsidRPr="007F3E67">
        <w:rPr>
          <w:lang w:val="fr-FR"/>
        </w:rPr>
        <w:t>1.</w:t>
      </w:r>
      <w:r w:rsidR="00E235F1" w:rsidRPr="007F3E67">
        <w:rPr>
          <w:lang w:val="fr-FR"/>
        </w:rPr>
        <w:t xml:space="preserve">  Requête </w:t>
      </w:r>
      <w:r w:rsidR="00E235F1" w:rsidRPr="007F3E67">
        <w:rPr>
          <w:szCs w:val="24"/>
          <w:lang w:val="fr-FR"/>
        </w:rPr>
        <w:t>n</w:t>
      </w:r>
      <w:r w:rsidR="00E235F1" w:rsidRPr="007F3E67">
        <w:rPr>
          <w:szCs w:val="24"/>
          <w:vertAlign w:val="superscript"/>
          <w:lang w:val="fr-FR"/>
        </w:rPr>
        <w:t>o</w:t>
      </w:r>
      <w:r w:rsidR="00E235F1" w:rsidRPr="007F3E67">
        <w:rPr>
          <w:lang w:val="fr-FR"/>
        </w:rPr>
        <w:t xml:space="preserve"> 28923/09</w:t>
      </w:r>
    </w:p>
    <w:bookmarkStart w:id="1" w:name="Reconstruction_FAITS"/>
    <w:p w:rsidR="00E235F1" w:rsidRPr="007F3E67" w:rsidRDefault="00E235F1" w:rsidP="007F3E67">
      <w:pPr>
        <w:pStyle w:val="ECHRPara"/>
        <w:rPr>
          <w:lang w:val="fr-FR"/>
        </w:rPr>
      </w:pPr>
      <w:r w:rsidRPr="007F3E67">
        <w:rPr>
          <w:lang w:val="fr-FR"/>
        </w:rPr>
        <w:fldChar w:fldCharType="begin"/>
      </w:r>
      <w:r w:rsidRPr="007F3E67">
        <w:rPr>
          <w:lang w:val="fr-FR"/>
        </w:rPr>
        <w:instrText xml:space="preserve"> SEQ level0 \*arabic </w:instrText>
      </w:r>
      <w:r w:rsidRPr="007F3E67">
        <w:rPr>
          <w:lang w:val="fr-FR"/>
        </w:rPr>
        <w:fldChar w:fldCharType="separate"/>
      </w:r>
      <w:r w:rsidR="007F3E67" w:rsidRPr="007F3E67">
        <w:rPr>
          <w:noProof/>
          <w:lang w:val="fr-FR"/>
        </w:rPr>
        <w:t>18</w:t>
      </w:r>
      <w:r w:rsidRPr="007F3E67">
        <w:rPr>
          <w:lang w:val="fr-FR"/>
        </w:rPr>
        <w:fldChar w:fldCharType="end"/>
      </w:r>
      <w:bookmarkEnd w:id="1"/>
      <w:r w:rsidRPr="007F3E67">
        <w:rPr>
          <w:lang w:val="fr-FR"/>
        </w:rPr>
        <w:t xml:space="preserve">.  Le 20 juillet, M. Azzolina, qui participait au cortège des </w:t>
      </w:r>
      <w:r w:rsidR="007F3E67" w:rsidRPr="007F3E67">
        <w:rPr>
          <w:i/>
          <w:lang w:val="fr-FR"/>
        </w:rPr>
        <w:t>Tute </w:t>
      </w:r>
      <w:r w:rsidRPr="007F3E67">
        <w:rPr>
          <w:i/>
          <w:lang w:val="fr-FR"/>
        </w:rPr>
        <w:t>Bianche</w:t>
      </w:r>
      <w:r w:rsidRPr="007F3E67">
        <w:rPr>
          <w:lang w:val="fr-FR"/>
        </w:rPr>
        <w:t>, reçut des coups de pied et de matraque et fut aspergé de gaz irritant lors d</w:t>
      </w:r>
      <w:r w:rsidR="007F3E67" w:rsidRPr="007F3E67">
        <w:rPr>
          <w:lang w:val="fr-FR"/>
        </w:rPr>
        <w:t>’</w:t>
      </w:r>
      <w:r w:rsidRPr="007F3E67">
        <w:rPr>
          <w:lang w:val="fr-FR"/>
        </w:rPr>
        <w:t>une charge de la police près de la rue Tolemaide. Transporté à l</w:t>
      </w:r>
      <w:r w:rsidR="007F3E67" w:rsidRPr="007F3E67">
        <w:rPr>
          <w:lang w:val="fr-FR"/>
        </w:rPr>
        <w:t>’</w:t>
      </w:r>
      <w:r w:rsidRPr="007F3E67">
        <w:rPr>
          <w:lang w:val="fr-FR"/>
        </w:rPr>
        <w:t>hôpital en raison d</w:t>
      </w:r>
      <w:r w:rsidR="007F3E67" w:rsidRPr="007F3E67">
        <w:rPr>
          <w:lang w:val="fr-FR"/>
        </w:rPr>
        <w:t>’</w:t>
      </w:r>
      <w:r w:rsidRPr="007F3E67">
        <w:rPr>
          <w:lang w:val="fr-FR"/>
        </w:rPr>
        <w:t xml:space="preserve">une blessure ouverte à la tête, il </w:t>
      </w:r>
      <w:r w:rsidR="001C78C3" w:rsidRPr="007F3E67">
        <w:rPr>
          <w:lang w:val="fr-FR"/>
        </w:rPr>
        <w:t xml:space="preserve">y </w:t>
      </w:r>
      <w:r w:rsidRPr="007F3E67">
        <w:rPr>
          <w:lang w:val="fr-FR"/>
        </w:rPr>
        <w:t xml:space="preserve">fut soigné </w:t>
      </w:r>
      <w:r w:rsidR="001C78C3" w:rsidRPr="007F3E67">
        <w:rPr>
          <w:lang w:val="fr-FR"/>
        </w:rPr>
        <w:t>avant d</w:t>
      </w:r>
      <w:r w:rsidR="007F3E67" w:rsidRPr="007F3E67">
        <w:rPr>
          <w:lang w:val="fr-FR"/>
        </w:rPr>
        <w:t>’</w:t>
      </w:r>
      <w:r w:rsidR="001C78C3" w:rsidRPr="007F3E67">
        <w:rPr>
          <w:lang w:val="fr-FR"/>
        </w:rPr>
        <w:t xml:space="preserve">être </w:t>
      </w:r>
      <w:r w:rsidRPr="007F3E67">
        <w:rPr>
          <w:lang w:val="fr-FR"/>
        </w:rPr>
        <w:t>emmené avec d</w:t>
      </w:r>
      <w:r w:rsidR="007F3E67" w:rsidRPr="007F3E67">
        <w:rPr>
          <w:lang w:val="fr-FR"/>
        </w:rPr>
        <w:t>’</w:t>
      </w:r>
      <w:r w:rsidRPr="007F3E67">
        <w:rPr>
          <w:lang w:val="fr-FR"/>
        </w:rPr>
        <w:t>autres personnes à la caserne de Bolzaneto à bord d</w:t>
      </w:r>
      <w:r w:rsidR="007F3E67" w:rsidRPr="007F3E67">
        <w:rPr>
          <w:lang w:val="fr-FR"/>
        </w:rPr>
        <w:t>’</w:t>
      </w:r>
      <w:r w:rsidRPr="007F3E67">
        <w:rPr>
          <w:lang w:val="fr-FR"/>
        </w:rPr>
        <w:t>un véhicule blindé. Placé avec d</w:t>
      </w:r>
      <w:r w:rsidR="007F3E67" w:rsidRPr="007F3E67">
        <w:rPr>
          <w:lang w:val="fr-FR"/>
        </w:rPr>
        <w:t>’</w:t>
      </w:r>
      <w:r w:rsidRPr="007F3E67">
        <w:rPr>
          <w:lang w:val="fr-FR"/>
        </w:rPr>
        <w:t xml:space="preserve">autres personnes contre un mur, il fut menacé, insulté et frappé. Un </w:t>
      </w:r>
      <w:r w:rsidR="00B5463F" w:rsidRPr="007F3E67">
        <w:rPr>
          <w:lang w:val="fr-FR"/>
        </w:rPr>
        <w:t>agent de police</w:t>
      </w:r>
      <w:r w:rsidRPr="007F3E67">
        <w:rPr>
          <w:lang w:val="fr-FR"/>
        </w:rPr>
        <w:t xml:space="preserve"> lui </w:t>
      </w:r>
      <w:r w:rsidR="001C3194" w:rsidRPr="007F3E67">
        <w:rPr>
          <w:lang w:val="fr-FR"/>
        </w:rPr>
        <w:t xml:space="preserve">saisit </w:t>
      </w:r>
      <w:r w:rsidR="00B5463F" w:rsidRPr="007F3E67">
        <w:rPr>
          <w:lang w:val="fr-FR"/>
        </w:rPr>
        <w:t>la main et lui écarta violemment les doigts, entre le troisième et le quatrième doigt, ce qui provoqua une profonde lacération</w:t>
      </w:r>
      <w:r w:rsidRPr="007F3E67">
        <w:rPr>
          <w:lang w:val="fr-FR"/>
        </w:rPr>
        <w:t>.</w:t>
      </w:r>
      <w:r w:rsidR="005F6D22" w:rsidRPr="007F3E67">
        <w:rPr>
          <w:lang w:val="fr-FR"/>
        </w:rPr>
        <w:t xml:space="preserve"> </w:t>
      </w:r>
      <w:r w:rsidRPr="007F3E67">
        <w:rPr>
          <w:lang w:val="fr-FR"/>
        </w:rPr>
        <w:t>Menacé d</w:t>
      </w:r>
      <w:r w:rsidR="007F3E67" w:rsidRPr="007F3E67">
        <w:rPr>
          <w:lang w:val="fr-FR"/>
        </w:rPr>
        <w:t>’</w:t>
      </w:r>
      <w:r w:rsidRPr="007F3E67">
        <w:rPr>
          <w:lang w:val="fr-FR"/>
        </w:rPr>
        <w:t>être à nouveau frappé s</w:t>
      </w:r>
      <w:r w:rsidR="007F3E67" w:rsidRPr="007F3E67">
        <w:rPr>
          <w:lang w:val="fr-FR"/>
        </w:rPr>
        <w:t>’</w:t>
      </w:r>
      <w:r w:rsidRPr="007F3E67">
        <w:rPr>
          <w:lang w:val="fr-FR"/>
        </w:rPr>
        <w:t xml:space="preserve">il bougeait ou </w:t>
      </w:r>
      <w:r w:rsidR="001C78C3" w:rsidRPr="007F3E67">
        <w:rPr>
          <w:lang w:val="fr-FR"/>
        </w:rPr>
        <w:t>s</w:t>
      </w:r>
      <w:r w:rsidR="007F3E67" w:rsidRPr="007F3E67">
        <w:rPr>
          <w:lang w:val="fr-FR"/>
        </w:rPr>
        <w:t>’</w:t>
      </w:r>
      <w:r w:rsidR="001C78C3" w:rsidRPr="007F3E67">
        <w:rPr>
          <w:lang w:val="fr-FR"/>
        </w:rPr>
        <w:t xml:space="preserve">il </w:t>
      </w:r>
      <w:r w:rsidRPr="007F3E67">
        <w:rPr>
          <w:lang w:val="fr-FR"/>
        </w:rPr>
        <w:t xml:space="preserve">se plaignait, </w:t>
      </w:r>
      <w:r w:rsidR="001C78C3" w:rsidRPr="007F3E67">
        <w:rPr>
          <w:lang w:val="fr-FR"/>
        </w:rPr>
        <w:t>M. Azzolina</w:t>
      </w:r>
      <w:r w:rsidRPr="007F3E67">
        <w:rPr>
          <w:lang w:val="fr-FR"/>
        </w:rPr>
        <w:t xml:space="preserve"> subit une suture de sa blessure sans anesthésie. </w:t>
      </w:r>
      <w:r w:rsidR="00B5463F" w:rsidRPr="007F3E67">
        <w:rPr>
          <w:lang w:val="fr-FR"/>
        </w:rPr>
        <w:t xml:space="preserve">Par la suite, </w:t>
      </w:r>
      <w:r w:rsidR="001C78C3" w:rsidRPr="007F3E67">
        <w:rPr>
          <w:lang w:val="fr-FR"/>
        </w:rPr>
        <w:t>l</w:t>
      </w:r>
      <w:r w:rsidR="007F3E67" w:rsidRPr="007F3E67">
        <w:rPr>
          <w:lang w:val="fr-FR"/>
        </w:rPr>
        <w:t>’</w:t>
      </w:r>
      <w:r w:rsidR="001C78C3" w:rsidRPr="007F3E67">
        <w:rPr>
          <w:lang w:val="fr-FR"/>
        </w:rPr>
        <w:t>intéressé</w:t>
      </w:r>
      <w:r w:rsidRPr="007F3E67">
        <w:rPr>
          <w:lang w:val="fr-FR"/>
        </w:rPr>
        <w:t xml:space="preserve"> et </w:t>
      </w:r>
      <w:r w:rsidR="001C78C3" w:rsidRPr="007F3E67">
        <w:rPr>
          <w:lang w:val="fr-FR"/>
        </w:rPr>
        <w:t>d</w:t>
      </w:r>
      <w:r w:rsidR="007F3E67" w:rsidRPr="007F3E67">
        <w:rPr>
          <w:lang w:val="fr-FR"/>
        </w:rPr>
        <w:t>’</w:t>
      </w:r>
      <w:r w:rsidRPr="007F3E67">
        <w:rPr>
          <w:lang w:val="fr-FR"/>
        </w:rPr>
        <w:t xml:space="preserve">autres personnes arrêtées furent obligés de se déshabiller </w:t>
      </w:r>
      <w:r w:rsidR="001C78C3" w:rsidRPr="007F3E67">
        <w:rPr>
          <w:lang w:val="fr-FR"/>
        </w:rPr>
        <w:t>avant d</w:t>
      </w:r>
      <w:r w:rsidR="007F3E67" w:rsidRPr="007F3E67">
        <w:rPr>
          <w:lang w:val="fr-FR"/>
        </w:rPr>
        <w:t>’</w:t>
      </w:r>
      <w:r w:rsidR="001C78C3" w:rsidRPr="007F3E67">
        <w:rPr>
          <w:lang w:val="fr-FR"/>
        </w:rPr>
        <w:t>être</w:t>
      </w:r>
      <w:r w:rsidRPr="007F3E67">
        <w:rPr>
          <w:lang w:val="fr-FR"/>
        </w:rPr>
        <w:t xml:space="preserve"> conduits dans des cellules où ils furent frappés sur leurs blessures à intervalles rapprochés. Le requérant fut libéré le lendemain, à 2 heures, après avoir été contraint de passer entre deux rangées de membres des forces de l</w:t>
      </w:r>
      <w:r w:rsidR="007F3E67" w:rsidRPr="007F3E67">
        <w:rPr>
          <w:lang w:val="fr-FR"/>
        </w:rPr>
        <w:t>’</w:t>
      </w:r>
      <w:r w:rsidRPr="007F3E67">
        <w:rPr>
          <w:lang w:val="fr-FR"/>
        </w:rPr>
        <w:t>ordre qui le frappèrent par tous les moyens</w:t>
      </w:r>
      <w:r w:rsidR="00953B6F" w:rsidRPr="007F3E67">
        <w:rPr>
          <w:lang w:val="fr-FR"/>
        </w:rPr>
        <w:t xml:space="preserve"> lors de son passage</w:t>
      </w:r>
      <w:r w:rsidRPr="007F3E67">
        <w:rPr>
          <w:lang w:val="fr-FR"/>
        </w:rPr>
        <w:t xml:space="preserve">. M. Azzolina </w:t>
      </w:r>
      <w:r w:rsidR="00953B6F" w:rsidRPr="007F3E67">
        <w:rPr>
          <w:lang w:val="fr-FR"/>
        </w:rPr>
        <w:t>souffrait</w:t>
      </w:r>
      <w:r w:rsidR="001C78C3" w:rsidRPr="007F3E67">
        <w:rPr>
          <w:lang w:val="fr-FR"/>
        </w:rPr>
        <w:t xml:space="preserve"> </w:t>
      </w:r>
      <w:r w:rsidRPr="007F3E67">
        <w:rPr>
          <w:lang w:val="fr-FR"/>
        </w:rPr>
        <w:t xml:space="preserve">de lésions à une main, à la tête et à une jambe, ainsi que </w:t>
      </w:r>
      <w:r w:rsidR="001C78C3" w:rsidRPr="007F3E67">
        <w:rPr>
          <w:lang w:val="fr-FR"/>
        </w:rPr>
        <w:t xml:space="preserve">de </w:t>
      </w:r>
      <w:r w:rsidRPr="007F3E67">
        <w:rPr>
          <w:lang w:val="fr-FR"/>
        </w:rPr>
        <w:t>plusieurs contusions.</w:t>
      </w:r>
    </w:p>
    <w:p w:rsidR="00E235F1" w:rsidRPr="007F3E67" w:rsidRDefault="00E235F1" w:rsidP="007F3E67">
      <w:pPr>
        <w:pStyle w:val="ECHRPara"/>
        <w:rPr>
          <w:lang w:val="fr-FR"/>
        </w:rPr>
      </w:pPr>
      <w:r w:rsidRPr="007F3E67">
        <w:rPr>
          <w:lang w:val="fr-FR"/>
        </w:rPr>
        <w:fldChar w:fldCharType="begin"/>
      </w:r>
      <w:r w:rsidRPr="007F3E67">
        <w:rPr>
          <w:lang w:val="fr-FR"/>
        </w:rPr>
        <w:instrText xml:space="preserve"> SEQ level0 \*arabic </w:instrText>
      </w:r>
      <w:r w:rsidRPr="007F3E67">
        <w:rPr>
          <w:lang w:val="fr-FR"/>
        </w:rPr>
        <w:fldChar w:fldCharType="separate"/>
      </w:r>
      <w:r w:rsidR="007F3E67" w:rsidRPr="007F3E67">
        <w:rPr>
          <w:noProof/>
          <w:lang w:val="fr-FR"/>
        </w:rPr>
        <w:t>19</w:t>
      </w:r>
      <w:r w:rsidRPr="007F3E67">
        <w:rPr>
          <w:lang w:val="fr-FR"/>
        </w:rPr>
        <w:fldChar w:fldCharType="end"/>
      </w:r>
      <w:r w:rsidRPr="007F3E67">
        <w:rPr>
          <w:lang w:val="fr-FR"/>
        </w:rPr>
        <w:t>.  M</w:t>
      </w:r>
      <w:r w:rsidRPr="007F3E67">
        <w:rPr>
          <w:vertAlign w:val="superscript"/>
          <w:lang w:val="fr-FR"/>
        </w:rPr>
        <w:t>me</w:t>
      </w:r>
      <w:r w:rsidRPr="007F3E67">
        <w:rPr>
          <w:lang w:val="fr-FR"/>
        </w:rPr>
        <w:t xml:space="preserve"> Bartesaghi Gallo fut arrêtée à l</w:t>
      </w:r>
      <w:r w:rsidR="007F3E67" w:rsidRPr="007F3E67">
        <w:rPr>
          <w:lang w:val="fr-FR"/>
        </w:rPr>
        <w:t>’</w:t>
      </w:r>
      <w:r w:rsidRPr="007F3E67">
        <w:rPr>
          <w:lang w:val="fr-FR"/>
        </w:rPr>
        <w:t>école Diaz-Pertini. Transportée à l</w:t>
      </w:r>
      <w:r w:rsidR="007F3E67" w:rsidRPr="007F3E67">
        <w:rPr>
          <w:lang w:val="fr-FR"/>
        </w:rPr>
        <w:t>’</w:t>
      </w:r>
      <w:r w:rsidRPr="007F3E67">
        <w:rPr>
          <w:lang w:val="fr-FR"/>
        </w:rPr>
        <w:t>hôpital en raison d</w:t>
      </w:r>
      <w:r w:rsidR="007F3E67" w:rsidRPr="007F3E67">
        <w:rPr>
          <w:lang w:val="fr-FR"/>
        </w:rPr>
        <w:t>’</w:t>
      </w:r>
      <w:r w:rsidRPr="007F3E67">
        <w:rPr>
          <w:lang w:val="fr-FR"/>
        </w:rPr>
        <w:t>une blessure ouverte à la tête, elle fut soignée puis, le 22 juillet au soir, transférée à la caserne de Bolzaneto. Un</w:t>
      </w:r>
      <w:r w:rsidR="00261666" w:rsidRPr="007F3E67">
        <w:rPr>
          <w:lang w:val="fr-FR"/>
        </w:rPr>
        <w:t>e croix</w:t>
      </w:r>
      <w:r w:rsidRPr="007F3E67">
        <w:rPr>
          <w:lang w:val="fr-FR"/>
        </w:rPr>
        <w:t xml:space="preserve"> fut </w:t>
      </w:r>
      <w:r w:rsidR="001C78C3" w:rsidRPr="007F3E67">
        <w:rPr>
          <w:lang w:val="fr-FR"/>
        </w:rPr>
        <w:t xml:space="preserve">tracée </w:t>
      </w:r>
      <w:r w:rsidRPr="007F3E67">
        <w:rPr>
          <w:lang w:val="fr-FR"/>
        </w:rPr>
        <w:t>sur son visage au feutre rouge. Elle fut d</w:t>
      </w:r>
      <w:r w:rsidR="007F3E67" w:rsidRPr="007F3E67">
        <w:rPr>
          <w:lang w:val="fr-FR"/>
        </w:rPr>
        <w:t>’</w:t>
      </w:r>
      <w:r w:rsidRPr="007F3E67">
        <w:rPr>
          <w:lang w:val="fr-FR"/>
        </w:rPr>
        <w:t>abord obligée de rester deux heures les bras en l</w:t>
      </w:r>
      <w:r w:rsidR="007F3E67" w:rsidRPr="007F3E67">
        <w:rPr>
          <w:lang w:val="fr-FR"/>
        </w:rPr>
        <w:t>’</w:t>
      </w:r>
      <w:r w:rsidRPr="007F3E67">
        <w:rPr>
          <w:lang w:val="fr-FR"/>
        </w:rPr>
        <w:t>air contre une clôture métallique dans la cour, puis de passer, tête baissée, entre des agents qui l</w:t>
      </w:r>
      <w:r w:rsidR="007F3E67" w:rsidRPr="007F3E67">
        <w:rPr>
          <w:lang w:val="fr-FR"/>
        </w:rPr>
        <w:t>’</w:t>
      </w:r>
      <w:r w:rsidRPr="007F3E67">
        <w:rPr>
          <w:lang w:val="fr-FR"/>
        </w:rPr>
        <w:t xml:space="preserve">insultaient </w:t>
      </w:r>
      <w:r w:rsidR="00953B6F" w:rsidRPr="007F3E67">
        <w:rPr>
          <w:lang w:val="fr-FR"/>
        </w:rPr>
        <w:t>(</w:t>
      </w:r>
      <w:r w:rsidRPr="007F3E67">
        <w:rPr>
          <w:lang w:val="fr-FR"/>
        </w:rPr>
        <w:t>« pute », « salope »</w:t>
      </w:r>
      <w:r w:rsidR="00953B6F" w:rsidRPr="007F3E67">
        <w:rPr>
          <w:lang w:val="fr-FR"/>
        </w:rPr>
        <w:t>)</w:t>
      </w:r>
      <w:r w:rsidRPr="007F3E67">
        <w:rPr>
          <w:lang w:val="fr-FR"/>
        </w:rPr>
        <w:t>, d</w:t>
      </w:r>
      <w:r w:rsidR="007F3E67" w:rsidRPr="007F3E67">
        <w:rPr>
          <w:lang w:val="fr-FR"/>
        </w:rPr>
        <w:t>’</w:t>
      </w:r>
      <w:r w:rsidRPr="007F3E67">
        <w:rPr>
          <w:lang w:val="fr-FR"/>
        </w:rPr>
        <w:t>aller aux toilettes sans pouvoir fermer la porte, sous les insultes et les menaces de l</w:t>
      </w:r>
      <w:r w:rsidR="007F3E67" w:rsidRPr="007F3E67">
        <w:rPr>
          <w:lang w:val="fr-FR"/>
        </w:rPr>
        <w:t>’</w:t>
      </w:r>
      <w:r w:rsidRPr="007F3E67">
        <w:rPr>
          <w:lang w:val="fr-FR"/>
        </w:rPr>
        <w:t>agent qui l</w:t>
      </w:r>
      <w:r w:rsidR="007F3E67" w:rsidRPr="007F3E67">
        <w:rPr>
          <w:lang w:val="fr-FR"/>
        </w:rPr>
        <w:t>’</w:t>
      </w:r>
      <w:r w:rsidRPr="007F3E67">
        <w:rPr>
          <w:lang w:val="fr-FR"/>
        </w:rPr>
        <w:t xml:space="preserve">accompagnait. </w:t>
      </w:r>
      <w:r w:rsidR="0053342E" w:rsidRPr="007F3E67">
        <w:rPr>
          <w:lang w:val="fr-FR"/>
        </w:rPr>
        <w:t>À</w:t>
      </w:r>
      <w:r w:rsidRPr="007F3E67">
        <w:rPr>
          <w:lang w:val="fr-FR"/>
        </w:rPr>
        <w:t xml:space="preserve"> l</w:t>
      </w:r>
      <w:r w:rsidR="007F3E67" w:rsidRPr="007F3E67">
        <w:rPr>
          <w:lang w:val="fr-FR"/>
        </w:rPr>
        <w:t>’</w:t>
      </w:r>
      <w:r w:rsidRPr="007F3E67">
        <w:rPr>
          <w:lang w:val="fr-FR"/>
        </w:rPr>
        <w:t>intérieur de la caserne, elle dut se tenir longtemps immobile, bras et jambes écartés, face contre un mur, au milieu de chants fascistes. Elle vit d</w:t>
      </w:r>
      <w:r w:rsidR="007F3E67" w:rsidRPr="007F3E67">
        <w:rPr>
          <w:lang w:val="fr-FR"/>
        </w:rPr>
        <w:t>’</w:t>
      </w:r>
      <w:r w:rsidRPr="007F3E67">
        <w:rPr>
          <w:lang w:val="fr-FR"/>
        </w:rPr>
        <w:t>autres personnes arrêtées</w:t>
      </w:r>
      <w:r w:rsidR="00FD4F8D" w:rsidRPr="007F3E67">
        <w:rPr>
          <w:lang w:val="fr-FR"/>
        </w:rPr>
        <w:t xml:space="preserve"> qui avaient</w:t>
      </w:r>
      <w:r w:rsidRPr="007F3E67">
        <w:rPr>
          <w:lang w:val="fr-FR"/>
        </w:rPr>
        <w:t xml:space="preserve"> le visage en sang. Lors d</w:t>
      </w:r>
      <w:r w:rsidR="007F3E67" w:rsidRPr="007F3E67">
        <w:rPr>
          <w:lang w:val="fr-FR"/>
        </w:rPr>
        <w:t>’</w:t>
      </w:r>
      <w:r w:rsidRPr="007F3E67">
        <w:rPr>
          <w:lang w:val="fr-FR"/>
        </w:rPr>
        <w:t>une visite médicale, on l</w:t>
      </w:r>
      <w:r w:rsidR="007F3E67" w:rsidRPr="007F3E67">
        <w:rPr>
          <w:lang w:val="fr-FR"/>
        </w:rPr>
        <w:t>’</w:t>
      </w:r>
      <w:r w:rsidRPr="007F3E67">
        <w:rPr>
          <w:lang w:val="fr-FR"/>
        </w:rPr>
        <w:t>obligea à se déshabiller et à faire des pompes devant deux hommes et deux femmes. On lui prit certains papiers qui furent jetés. Elle fut ensuite transférée à la prison de Vercelli.</w:t>
      </w:r>
    </w:p>
    <w:p w:rsidR="00E235F1" w:rsidRPr="007F3E67" w:rsidRDefault="00E235F1" w:rsidP="007F3E67">
      <w:pPr>
        <w:pStyle w:val="ECHRPara"/>
        <w:rPr>
          <w:lang w:val="fr-FR"/>
        </w:rPr>
      </w:pPr>
      <w:r w:rsidRPr="007F3E67">
        <w:rPr>
          <w:lang w:val="fr-FR"/>
        </w:rPr>
        <w:fldChar w:fldCharType="begin"/>
      </w:r>
      <w:r w:rsidRPr="007F3E67">
        <w:rPr>
          <w:lang w:val="fr-FR"/>
        </w:rPr>
        <w:instrText xml:space="preserve"> SEQ level0 \*arabic </w:instrText>
      </w:r>
      <w:r w:rsidRPr="007F3E67">
        <w:rPr>
          <w:lang w:val="fr-FR"/>
        </w:rPr>
        <w:fldChar w:fldCharType="separate"/>
      </w:r>
      <w:r w:rsidR="007F3E67" w:rsidRPr="007F3E67">
        <w:rPr>
          <w:noProof/>
          <w:lang w:val="fr-FR"/>
        </w:rPr>
        <w:t>20</w:t>
      </w:r>
      <w:r w:rsidRPr="007F3E67">
        <w:rPr>
          <w:lang w:val="fr-FR"/>
        </w:rPr>
        <w:fldChar w:fldCharType="end"/>
      </w:r>
      <w:r w:rsidRPr="007F3E67">
        <w:rPr>
          <w:lang w:val="fr-FR"/>
        </w:rPr>
        <w:t>.  M. Delfino fut arrêté et blessé au nez le vendredi 20 juillet. En fin d</w:t>
      </w:r>
      <w:r w:rsidR="007F3E67" w:rsidRPr="007F3E67">
        <w:rPr>
          <w:lang w:val="fr-FR"/>
        </w:rPr>
        <w:t>’</w:t>
      </w:r>
      <w:r w:rsidRPr="007F3E67">
        <w:rPr>
          <w:lang w:val="fr-FR"/>
        </w:rPr>
        <w:t xml:space="preserve">après-midi, il fut transporté à la caserne de Bolzaneto et passé à tabac </w:t>
      </w:r>
      <w:r w:rsidRPr="007F3E67">
        <w:rPr>
          <w:lang w:val="fr-FR"/>
        </w:rPr>
        <w:lastRenderedPageBreak/>
        <w:t>dans un véhicule garé en plein soleil, à l</w:t>
      </w:r>
      <w:r w:rsidR="007F3E67" w:rsidRPr="007F3E67">
        <w:rPr>
          <w:lang w:val="fr-FR"/>
        </w:rPr>
        <w:t>’</w:t>
      </w:r>
      <w:r w:rsidRPr="007F3E67">
        <w:rPr>
          <w:lang w:val="fr-FR"/>
        </w:rPr>
        <w:t xml:space="preserve">intérieur duquel il fut ensuite laissé longtemps. </w:t>
      </w:r>
      <w:r w:rsidR="001A5BA7" w:rsidRPr="007F3E67">
        <w:rPr>
          <w:lang w:val="fr-FR"/>
        </w:rPr>
        <w:t>Il fut ensuite t</w:t>
      </w:r>
      <w:r w:rsidRPr="007F3E67">
        <w:rPr>
          <w:lang w:val="fr-FR"/>
        </w:rPr>
        <w:t>raîné de force par les cheveux à l</w:t>
      </w:r>
      <w:r w:rsidR="007F3E67" w:rsidRPr="007F3E67">
        <w:rPr>
          <w:lang w:val="fr-FR"/>
        </w:rPr>
        <w:t>’</w:t>
      </w:r>
      <w:r w:rsidRPr="007F3E67">
        <w:rPr>
          <w:lang w:val="fr-FR"/>
        </w:rPr>
        <w:t xml:space="preserve">intérieur de la caserne, </w:t>
      </w:r>
      <w:r w:rsidR="001A5BA7" w:rsidRPr="007F3E67">
        <w:rPr>
          <w:lang w:val="fr-FR"/>
        </w:rPr>
        <w:t xml:space="preserve">où </w:t>
      </w:r>
      <w:r w:rsidRPr="007F3E67">
        <w:rPr>
          <w:lang w:val="fr-FR"/>
        </w:rPr>
        <w:t>il fut à nouveau frappé puis obligé de se tenir immobile</w:t>
      </w:r>
      <w:r w:rsidR="001A5BA7" w:rsidRPr="007F3E67">
        <w:rPr>
          <w:lang w:val="fr-FR"/>
        </w:rPr>
        <w:t xml:space="preserve"> face à un mur</w:t>
      </w:r>
      <w:r w:rsidRPr="007F3E67">
        <w:rPr>
          <w:lang w:val="fr-FR"/>
        </w:rPr>
        <w:t xml:space="preserve">, bras et jambes écartés. Lors de </w:t>
      </w:r>
      <w:r w:rsidR="001A5BA7" w:rsidRPr="007F3E67">
        <w:rPr>
          <w:lang w:val="fr-FR"/>
        </w:rPr>
        <w:t xml:space="preserve">son </w:t>
      </w:r>
      <w:r w:rsidRPr="007F3E67">
        <w:rPr>
          <w:lang w:val="fr-FR"/>
        </w:rPr>
        <w:t>identification, la police ne l</w:t>
      </w:r>
      <w:r w:rsidR="007F3E67" w:rsidRPr="007F3E67">
        <w:rPr>
          <w:lang w:val="fr-FR"/>
        </w:rPr>
        <w:t>’</w:t>
      </w:r>
      <w:r w:rsidRPr="007F3E67">
        <w:rPr>
          <w:lang w:val="fr-FR"/>
        </w:rPr>
        <w:t>autorisa ni à prévenir ses parents ni à voir un avocat et ne l</w:t>
      </w:r>
      <w:r w:rsidR="007F3E67" w:rsidRPr="007F3E67">
        <w:rPr>
          <w:lang w:val="fr-FR"/>
        </w:rPr>
        <w:t>’</w:t>
      </w:r>
      <w:r w:rsidRPr="007F3E67">
        <w:rPr>
          <w:lang w:val="fr-FR"/>
        </w:rPr>
        <w:t xml:space="preserve">informa pas des motifs de son arrestation. Avant la visite médicale, </w:t>
      </w:r>
      <w:r w:rsidR="001A5BA7" w:rsidRPr="007F3E67">
        <w:rPr>
          <w:lang w:val="fr-FR"/>
        </w:rPr>
        <w:t xml:space="preserve">M. Delfino </w:t>
      </w:r>
      <w:r w:rsidRPr="007F3E67">
        <w:rPr>
          <w:lang w:val="fr-FR"/>
        </w:rPr>
        <w:t>dut attendre dans le couloir, bras et jambes écartés face au mur. Au bout d</w:t>
      </w:r>
      <w:r w:rsidR="007F3E67" w:rsidRPr="007F3E67">
        <w:rPr>
          <w:lang w:val="fr-FR"/>
        </w:rPr>
        <w:t>’</w:t>
      </w:r>
      <w:r w:rsidRPr="007F3E67">
        <w:rPr>
          <w:lang w:val="fr-FR"/>
        </w:rPr>
        <w:t>une heure, il perdit connaissance. Il ne reçut aucun soin pour sa blessure au nez. Le 21 juillet, à l</w:t>
      </w:r>
      <w:r w:rsidR="007F3E67" w:rsidRPr="007F3E67">
        <w:rPr>
          <w:lang w:val="fr-FR"/>
        </w:rPr>
        <w:t>’</w:t>
      </w:r>
      <w:r w:rsidRPr="007F3E67">
        <w:rPr>
          <w:lang w:val="fr-FR"/>
        </w:rPr>
        <w:t>aube, il fut transféré à la prison d</w:t>
      </w:r>
      <w:r w:rsidR="007F3E67" w:rsidRPr="007F3E67">
        <w:rPr>
          <w:lang w:val="fr-FR"/>
        </w:rPr>
        <w:t>’</w:t>
      </w:r>
      <w:r w:rsidRPr="007F3E67">
        <w:rPr>
          <w:lang w:val="fr-FR"/>
        </w:rPr>
        <w:t>Alexandrie.</w:t>
      </w:r>
    </w:p>
    <w:p w:rsidR="00E235F1" w:rsidRPr="007F3E67" w:rsidRDefault="00E235F1" w:rsidP="007F3E67">
      <w:pPr>
        <w:pStyle w:val="ECHRPara"/>
        <w:rPr>
          <w:lang w:val="fr-FR"/>
        </w:rPr>
      </w:pPr>
      <w:r w:rsidRPr="007F3E67">
        <w:rPr>
          <w:lang w:val="fr-FR"/>
        </w:rPr>
        <w:fldChar w:fldCharType="begin"/>
      </w:r>
      <w:r w:rsidRPr="007F3E67">
        <w:rPr>
          <w:lang w:val="fr-FR"/>
        </w:rPr>
        <w:instrText xml:space="preserve"> SEQ level0 \*arabic </w:instrText>
      </w:r>
      <w:r w:rsidRPr="007F3E67">
        <w:rPr>
          <w:lang w:val="fr-FR"/>
        </w:rPr>
        <w:fldChar w:fldCharType="separate"/>
      </w:r>
      <w:r w:rsidR="007F3E67" w:rsidRPr="007F3E67">
        <w:rPr>
          <w:noProof/>
          <w:lang w:val="fr-FR"/>
        </w:rPr>
        <w:t>21</w:t>
      </w:r>
      <w:r w:rsidRPr="007F3E67">
        <w:rPr>
          <w:lang w:val="fr-FR"/>
        </w:rPr>
        <w:fldChar w:fldCharType="end"/>
      </w:r>
      <w:r w:rsidRPr="007F3E67">
        <w:rPr>
          <w:lang w:val="fr-FR"/>
        </w:rPr>
        <w:t>.  M</w:t>
      </w:r>
      <w:r w:rsidRPr="007F3E67">
        <w:rPr>
          <w:rFonts w:ascii="Times New (W1)" w:hAnsi="Times New (W1)"/>
          <w:vertAlign w:val="superscript"/>
          <w:lang w:val="fr-FR"/>
        </w:rPr>
        <w:t>me</w:t>
      </w:r>
      <w:r w:rsidRPr="007F3E67">
        <w:rPr>
          <w:lang w:val="fr-FR"/>
        </w:rPr>
        <w:t xml:space="preserve"> Doherty fut arrêtée à l</w:t>
      </w:r>
      <w:r w:rsidR="007F3E67" w:rsidRPr="007F3E67">
        <w:rPr>
          <w:lang w:val="fr-FR"/>
        </w:rPr>
        <w:t>’</w:t>
      </w:r>
      <w:r w:rsidRPr="007F3E67">
        <w:rPr>
          <w:lang w:val="fr-FR"/>
        </w:rPr>
        <w:t>école Diaz-Pertini. Transportée à l</w:t>
      </w:r>
      <w:r w:rsidR="007F3E67" w:rsidRPr="007F3E67">
        <w:rPr>
          <w:lang w:val="fr-FR"/>
        </w:rPr>
        <w:t>’</w:t>
      </w:r>
      <w:r w:rsidRPr="007F3E67">
        <w:rPr>
          <w:lang w:val="fr-FR"/>
        </w:rPr>
        <w:t>hôpital en raison de plusieurs excoriations et d</w:t>
      </w:r>
      <w:r w:rsidR="007F3E67" w:rsidRPr="007F3E67">
        <w:rPr>
          <w:lang w:val="fr-FR"/>
        </w:rPr>
        <w:t>’</w:t>
      </w:r>
      <w:r w:rsidRPr="007F3E67">
        <w:rPr>
          <w:lang w:val="fr-FR"/>
        </w:rPr>
        <w:t>une fracture du poignet, elle fut soignée</w:t>
      </w:r>
      <w:r w:rsidR="001A5BA7" w:rsidRPr="007F3E67">
        <w:rPr>
          <w:lang w:val="fr-FR"/>
        </w:rPr>
        <w:t xml:space="preserve"> avant</w:t>
      </w:r>
      <w:r w:rsidRPr="007F3E67">
        <w:rPr>
          <w:lang w:val="fr-FR"/>
        </w:rPr>
        <w:t xml:space="preserve"> </w:t>
      </w:r>
      <w:r w:rsidR="001A5BA7" w:rsidRPr="007F3E67">
        <w:rPr>
          <w:lang w:val="fr-FR"/>
        </w:rPr>
        <w:t>d</w:t>
      </w:r>
      <w:r w:rsidR="007F3E67" w:rsidRPr="007F3E67">
        <w:rPr>
          <w:lang w:val="fr-FR"/>
        </w:rPr>
        <w:t>’</w:t>
      </w:r>
      <w:r w:rsidR="001A5BA7" w:rsidRPr="007F3E67">
        <w:rPr>
          <w:lang w:val="fr-FR"/>
        </w:rPr>
        <w:t>être</w:t>
      </w:r>
      <w:r w:rsidRPr="007F3E67">
        <w:rPr>
          <w:lang w:val="fr-FR"/>
        </w:rPr>
        <w:t xml:space="preserve"> transférée</w:t>
      </w:r>
      <w:r w:rsidR="001A5BA7" w:rsidRPr="007F3E67">
        <w:rPr>
          <w:lang w:val="fr-FR"/>
        </w:rPr>
        <w:t>, le 22 juillet à l</w:t>
      </w:r>
      <w:r w:rsidR="007F3E67" w:rsidRPr="007F3E67">
        <w:rPr>
          <w:lang w:val="fr-FR"/>
        </w:rPr>
        <w:t>’</w:t>
      </w:r>
      <w:r w:rsidR="001A5BA7" w:rsidRPr="007F3E67">
        <w:rPr>
          <w:lang w:val="fr-FR"/>
        </w:rPr>
        <w:t xml:space="preserve">aube, </w:t>
      </w:r>
      <w:r w:rsidRPr="007F3E67">
        <w:rPr>
          <w:lang w:val="fr-FR"/>
        </w:rPr>
        <w:t>à la caserne de Bolzaneto. Elle fut d</w:t>
      </w:r>
      <w:r w:rsidR="007F3E67" w:rsidRPr="007F3E67">
        <w:rPr>
          <w:lang w:val="fr-FR"/>
        </w:rPr>
        <w:t>’</w:t>
      </w:r>
      <w:r w:rsidRPr="007F3E67">
        <w:rPr>
          <w:lang w:val="fr-FR"/>
        </w:rPr>
        <w:t>abord obligée de rester deux heures les bras en l</w:t>
      </w:r>
      <w:r w:rsidR="007F3E67" w:rsidRPr="007F3E67">
        <w:rPr>
          <w:lang w:val="fr-FR"/>
        </w:rPr>
        <w:t>’</w:t>
      </w:r>
      <w:r w:rsidRPr="007F3E67">
        <w:rPr>
          <w:lang w:val="fr-FR"/>
        </w:rPr>
        <w:t>air contre une clôture métallique dans la cour, malgré son bras plâtré, puis de passer, tête baissée, entre des agents qui l</w:t>
      </w:r>
      <w:r w:rsidR="007F3E67" w:rsidRPr="007F3E67">
        <w:rPr>
          <w:lang w:val="fr-FR"/>
        </w:rPr>
        <w:t>’</w:t>
      </w:r>
      <w:r w:rsidRPr="007F3E67">
        <w:rPr>
          <w:lang w:val="fr-FR"/>
        </w:rPr>
        <w:t>insultaient</w:t>
      </w:r>
      <w:r w:rsidR="001A5BA7" w:rsidRPr="007F3E67">
        <w:rPr>
          <w:lang w:val="fr-FR"/>
        </w:rPr>
        <w:t>.</w:t>
      </w:r>
      <w:r w:rsidRPr="007F3E67">
        <w:rPr>
          <w:lang w:val="fr-FR"/>
        </w:rPr>
        <w:t xml:space="preserve"> </w:t>
      </w:r>
      <w:r w:rsidR="001A5BA7" w:rsidRPr="007F3E67">
        <w:rPr>
          <w:lang w:val="fr-FR"/>
        </w:rPr>
        <w:t>Elle d</w:t>
      </w:r>
      <w:r w:rsidR="005D6173" w:rsidRPr="007F3E67">
        <w:rPr>
          <w:lang w:val="fr-FR"/>
        </w:rPr>
        <w:t>u</w:t>
      </w:r>
      <w:r w:rsidR="001A5BA7" w:rsidRPr="007F3E67">
        <w:rPr>
          <w:lang w:val="fr-FR"/>
        </w:rPr>
        <w:t>t utiliser</w:t>
      </w:r>
      <w:r w:rsidRPr="007F3E67">
        <w:rPr>
          <w:lang w:val="fr-FR"/>
        </w:rPr>
        <w:t xml:space="preserve"> les toilettes </w:t>
      </w:r>
      <w:r w:rsidR="004D35BD" w:rsidRPr="007F3E67">
        <w:rPr>
          <w:lang w:val="fr-FR"/>
        </w:rPr>
        <w:t xml:space="preserve">en laissant la porte ouverte. </w:t>
      </w:r>
      <w:r w:rsidR="00FE6ABD" w:rsidRPr="007F3E67">
        <w:rPr>
          <w:lang w:val="fr-FR"/>
        </w:rPr>
        <w:t>Une croix</w:t>
      </w:r>
      <w:r w:rsidRPr="007F3E67">
        <w:rPr>
          <w:lang w:val="fr-FR"/>
        </w:rPr>
        <w:t xml:space="preserve"> fut </w:t>
      </w:r>
      <w:r w:rsidR="001A5BA7" w:rsidRPr="007F3E67">
        <w:rPr>
          <w:lang w:val="fr-FR"/>
        </w:rPr>
        <w:t xml:space="preserve">tracée sur son visage </w:t>
      </w:r>
      <w:r w:rsidRPr="007F3E67">
        <w:rPr>
          <w:lang w:val="fr-FR"/>
        </w:rPr>
        <w:t xml:space="preserve">au feutre rouge. </w:t>
      </w:r>
      <w:r w:rsidR="005670AC" w:rsidRPr="007F3E67">
        <w:rPr>
          <w:lang w:val="fr-FR"/>
        </w:rPr>
        <w:t>À</w:t>
      </w:r>
      <w:r w:rsidRPr="007F3E67">
        <w:rPr>
          <w:lang w:val="fr-FR"/>
        </w:rPr>
        <w:t xml:space="preserve"> l</w:t>
      </w:r>
      <w:r w:rsidR="007F3E67" w:rsidRPr="007F3E67">
        <w:rPr>
          <w:lang w:val="fr-FR"/>
        </w:rPr>
        <w:t>’</w:t>
      </w:r>
      <w:r w:rsidRPr="007F3E67">
        <w:rPr>
          <w:lang w:val="fr-FR"/>
        </w:rPr>
        <w:t>intérieur de la caserne, elle dut se tenir longtemps bras et jambes écartés, face contre un mur. Elle vit d</w:t>
      </w:r>
      <w:r w:rsidR="007F3E67" w:rsidRPr="007F3E67">
        <w:rPr>
          <w:lang w:val="fr-FR"/>
        </w:rPr>
        <w:t>’</w:t>
      </w:r>
      <w:r w:rsidRPr="007F3E67">
        <w:rPr>
          <w:lang w:val="fr-FR"/>
        </w:rPr>
        <w:t xml:space="preserve">autres personnes arrêtées souffrir en raison des sévices </w:t>
      </w:r>
      <w:r w:rsidR="001A5BA7" w:rsidRPr="007F3E67">
        <w:rPr>
          <w:lang w:val="fr-FR"/>
        </w:rPr>
        <w:t>qu</w:t>
      </w:r>
      <w:r w:rsidR="007F3E67" w:rsidRPr="007F3E67">
        <w:rPr>
          <w:lang w:val="fr-FR"/>
        </w:rPr>
        <w:t>’</w:t>
      </w:r>
      <w:r w:rsidR="001C3194" w:rsidRPr="007F3E67">
        <w:rPr>
          <w:lang w:val="fr-FR"/>
        </w:rPr>
        <w:t>e</w:t>
      </w:r>
      <w:r w:rsidR="001A5BA7" w:rsidRPr="007F3E67">
        <w:rPr>
          <w:lang w:val="fr-FR"/>
        </w:rPr>
        <w:t>l</w:t>
      </w:r>
      <w:r w:rsidR="001C3194" w:rsidRPr="007F3E67">
        <w:rPr>
          <w:lang w:val="fr-FR"/>
        </w:rPr>
        <w:t>le</w:t>
      </w:r>
      <w:r w:rsidR="001A5BA7" w:rsidRPr="007F3E67">
        <w:rPr>
          <w:lang w:val="fr-FR"/>
        </w:rPr>
        <w:t>s subissaient</w:t>
      </w:r>
      <w:r w:rsidRPr="007F3E67">
        <w:rPr>
          <w:lang w:val="fr-FR"/>
        </w:rPr>
        <w:t>. Lors d</w:t>
      </w:r>
      <w:r w:rsidR="007F3E67" w:rsidRPr="007F3E67">
        <w:rPr>
          <w:lang w:val="fr-FR"/>
        </w:rPr>
        <w:t>’</w:t>
      </w:r>
      <w:r w:rsidRPr="007F3E67">
        <w:rPr>
          <w:lang w:val="fr-FR"/>
        </w:rPr>
        <w:t>une visite médicale, on l</w:t>
      </w:r>
      <w:r w:rsidR="007F3E67" w:rsidRPr="007F3E67">
        <w:rPr>
          <w:lang w:val="fr-FR"/>
        </w:rPr>
        <w:t>’</w:t>
      </w:r>
      <w:r w:rsidRPr="007F3E67">
        <w:rPr>
          <w:lang w:val="fr-FR"/>
        </w:rPr>
        <w:t>obligea à se dévêtir et à faire des pompes devant un homme et deux</w:t>
      </w:r>
      <w:r w:rsidR="001A5BA7" w:rsidRPr="007F3E67">
        <w:rPr>
          <w:lang w:val="fr-FR"/>
        </w:rPr>
        <w:t> </w:t>
      </w:r>
      <w:r w:rsidRPr="007F3E67">
        <w:rPr>
          <w:lang w:val="fr-FR"/>
        </w:rPr>
        <w:t xml:space="preserve">femmes, malgré la douleur provoquée par </w:t>
      </w:r>
      <w:r w:rsidR="001A5BA7" w:rsidRPr="007F3E67">
        <w:rPr>
          <w:lang w:val="fr-FR"/>
        </w:rPr>
        <w:t>s</w:t>
      </w:r>
      <w:r w:rsidRPr="007F3E67">
        <w:rPr>
          <w:lang w:val="fr-FR"/>
        </w:rPr>
        <w:t>a fracture</w:t>
      </w:r>
      <w:r w:rsidR="001A5BA7" w:rsidRPr="007F3E67">
        <w:rPr>
          <w:lang w:val="fr-FR"/>
        </w:rPr>
        <w:t xml:space="preserve"> du poignet</w:t>
      </w:r>
      <w:r w:rsidRPr="007F3E67">
        <w:rPr>
          <w:lang w:val="fr-FR"/>
        </w:rPr>
        <w:t> ; à cause de celle-ci, elle n</w:t>
      </w:r>
      <w:r w:rsidR="007F3E67" w:rsidRPr="007F3E67">
        <w:rPr>
          <w:lang w:val="fr-FR"/>
        </w:rPr>
        <w:t>’</w:t>
      </w:r>
      <w:r w:rsidRPr="007F3E67">
        <w:rPr>
          <w:lang w:val="fr-FR"/>
        </w:rPr>
        <w:t>arriva pas à remettre son soutien-gorge, mais personne ne l</w:t>
      </w:r>
      <w:r w:rsidR="007F3E67" w:rsidRPr="007F3E67">
        <w:rPr>
          <w:lang w:val="fr-FR"/>
        </w:rPr>
        <w:t>’</w:t>
      </w:r>
      <w:r w:rsidRPr="007F3E67">
        <w:rPr>
          <w:lang w:val="fr-FR"/>
        </w:rPr>
        <w:t xml:space="preserve">aida. </w:t>
      </w:r>
      <w:r w:rsidR="0053342E" w:rsidRPr="007F3E67">
        <w:rPr>
          <w:lang w:val="fr-FR"/>
        </w:rPr>
        <w:t>À</w:t>
      </w:r>
      <w:r w:rsidRPr="007F3E67">
        <w:rPr>
          <w:lang w:val="fr-FR"/>
        </w:rPr>
        <w:t xml:space="preserve"> l</w:t>
      </w:r>
      <w:r w:rsidR="007F3E67" w:rsidRPr="007F3E67">
        <w:rPr>
          <w:lang w:val="fr-FR"/>
        </w:rPr>
        <w:t>’</w:t>
      </w:r>
      <w:r w:rsidRPr="007F3E67">
        <w:rPr>
          <w:lang w:val="fr-FR"/>
        </w:rPr>
        <w:t xml:space="preserve">occasion de </w:t>
      </w:r>
      <w:r w:rsidR="001A5BA7" w:rsidRPr="007F3E67">
        <w:rPr>
          <w:lang w:val="fr-FR"/>
        </w:rPr>
        <w:t xml:space="preserve">son </w:t>
      </w:r>
      <w:r w:rsidRPr="007F3E67">
        <w:rPr>
          <w:lang w:val="fr-FR"/>
        </w:rPr>
        <w:t>identification, elle fut obligée de signer des documents</w:t>
      </w:r>
      <w:r w:rsidR="001A5BA7" w:rsidRPr="007F3E67">
        <w:rPr>
          <w:lang w:val="fr-FR"/>
        </w:rPr>
        <w:t xml:space="preserve">, </w:t>
      </w:r>
      <w:r w:rsidRPr="007F3E67">
        <w:rPr>
          <w:lang w:val="fr-FR"/>
        </w:rPr>
        <w:t xml:space="preserve">rédigés en italien, </w:t>
      </w:r>
      <w:r w:rsidR="001C3194" w:rsidRPr="007F3E67">
        <w:rPr>
          <w:lang w:val="fr-FR"/>
        </w:rPr>
        <w:t>qu</w:t>
      </w:r>
      <w:r w:rsidR="007F3E67" w:rsidRPr="007F3E67">
        <w:rPr>
          <w:lang w:val="fr-FR"/>
        </w:rPr>
        <w:t>’</w:t>
      </w:r>
      <w:r w:rsidRPr="007F3E67">
        <w:rPr>
          <w:lang w:val="fr-FR"/>
        </w:rPr>
        <w:t>elle ne comprenait pas.</w:t>
      </w:r>
    </w:p>
    <w:p w:rsidR="00E235F1" w:rsidRPr="007F3E67" w:rsidRDefault="00E235F1" w:rsidP="007F3E67">
      <w:pPr>
        <w:pStyle w:val="ECHRPara"/>
        <w:rPr>
          <w:lang w:val="fr-FR"/>
        </w:rPr>
      </w:pPr>
      <w:r w:rsidRPr="007F3E67">
        <w:rPr>
          <w:lang w:val="fr-FR"/>
        </w:rPr>
        <w:fldChar w:fldCharType="begin"/>
      </w:r>
      <w:r w:rsidRPr="007F3E67">
        <w:rPr>
          <w:lang w:val="fr-FR"/>
        </w:rPr>
        <w:instrText xml:space="preserve"> SEQ level0 \*arabic </w:instrText>
      </w:r>
      <w:r w:rsidRPr="007F3E67">
        <w:rPr>
          <w:lang w:val="fr-FR"/>
        </w:rPr>
        <w:fldChar w:fldCharType="separate"/>
      </w:r>
      <w:r w:rsidR="007F3E67" w:rsidRPr="007F3E67">
        <w:rPr>
          <w:noProof/>
          <w:lang w:val="fr-FR"/>
        </w:rPr>
        <w:t>22</w:t>
      </w:r>
      <w:r w:rsidRPr="007F3E67">
        <w:rPr>
          <w:lang w:val="fr-FR"/>
        </w:rPr>
        <w:fldChar w:fldCharType="end"/>
      </w:r>
      <w:r w:rsidRPr="007F3E67">
        <w:rPr>
          <w:lang w:val="fr-FR"/>
        </w:rPr>
        <w:t>.  M. Galloway fut arrêté à l</w:t>
      </w:r>
      <w:r w:rsidR="007F3E67" w:rsidRPr="007F3E67">
        <w:rPr>
          <w:lang w:val="fr-FR"/>
        </w:rPr>
        <w:t>’</w:t>
      </w:r>
      <w:r w:rsidRPr="007F3E67">
        <w:rPr>
          <w:lang w:val="fr-FR"/>
        </w:rPr>
        <w:t>école Diaz-Pertini. Transporté à l</w:t>
      </w:r>
      <w:r w:rsidR="007F3E67" w:rsidRPr="007F3E67">
        <w:rPr>
          <w:lang w:val="fr-FR"/>
        </w:rPr>
        <w:t>’</w:t>
      </w:r>
      <w:r w:rsidRPr="007F3E67">
        <w:rPr>
          <w:lang w:val="fr-FR"/>
        </w:rPr>
        <w:t>hôpital en raison de blessures au dos et à la tête, il fut soigné puis transféré, le 22 juillet à l</w:t>
      </w:r>
      <w:r w:rsidR="007F3E67" w:rsidRPr="007F3E67">
        <w:rPr>
          <w:lang w:val="fr-FR"/>
        </w:rPr>
        <w:t>’</w:t>
      </w:r>
      <w:r w:rsidRPr="007F3E67">
        <w:rPr>
          <w:lang w:val="fr-FR"/>
        </w:rPr>
        <w:t>aube, à la caserne de Bolzaneto. Il fut identifié puis emmené dans une cellule déjà occupée par d</w:t>
      </w:r>
      <w:r w:rsidR="007F3E67" w:rsidRPr="007F3E67">
        <w:rPr>
          <w:lang w:val="fr-FR"/>
        </w:rPr>
        <w:t>’</w:t>
      </w:r>
      <w:r w:rsidRPr="007F3E67">
        <w:rPr>
          <w:lang w:val="fr-FR"/>
        </w:rPr>
        <w:t>autres personnes. Obligé de se tenir bras et jambes écartés, face contre un mur, il ne fut pas frappé mais dut entendre des coups violents et des cris. Il fut emmené dans un local vide</w:t>
      </w:r>
      <w:r w:rsidR="00C15E39" w:rsidRPr="007F3E67">
        <w:rPr>
          <w:lang w:val="fr-FR"/>
        </w:rPr>
        <w:t xml:space="preserve"> où il</w:t>
      </w:r>
      <w:r w:rsidRPr="007F3E67">
        <w:rPr>
          <w:lang w:val="fr-FR"/>
        </w:rPr>
        <w:t xml:space="preserve"> fut contraint de se déshabiller et de faire des pompes. Soumis à une « sorte de visite médicale », il dut à nouveau se dévêtir mais ne reçut pas de soins. Dans la nuit, on le fit rester longtemps jambes écartées et face contre le mur</w:t>
      </w:r>
      <w:r w:rsidR="00C15E39" w:rsidRPr="007F3E67">
        <w:rPr>
          <w:lang w:val="fr-FR"/>
        </w:rPr>
        <w:t xml:space="preserve">, dans le </w:t>
      </w:r>
      <w:r w:rsidRPr="007F3E67">
        <w:rPr>
          <w:lang w:val="fr-FR"/>
        </w:rPr>
        <w:t xml:space="preserve">couloir. Il dut signer un document rédigé en italien et en partie </w:t>
      </w:r>
      <w:r w:rsidR="00C15E39" w:rsidRPr="007F3E67">
        <w:rPr>
          <w:lang w:val="fr-FR"/>
        </w:rPr>
        <w:t>pré</w:t>
      </w:r>
      <w:r w:rsidRPr="007F3E67">
        <w:rPr>
          <w:lang w:val="fr-FR"/>
        </w:rPr>
        <w:t xml:space="preserve">rempli, dont il ne comprenait pas la teneur. </w:t>
      </w:r>
      <w:r w:rsidR="00C15E39" w:rsidRPr="007F3E67">
        <w:rPr>
          <w:lang w:val="fr-FR"/>
        </w:rPr>
        <w:t>L</w:t>
      </w:r>
      <w:r w:rsidR="007F3E67" w:rsidRPr="007F3E67">
        <w:rPr>
          <w:lang w:val="fr-FR"/>
        </w:rPr>
        <w:t>’</w:t>
      </w:r>
      <w:r w:rsidRPr="007F3E67">
        <w:rPr>
          <w:lang w:val="fr-FR"/>
        </w:rPr>
        <w:t>après-midi du 23 juillet</w:t>
      </w:r>
      <w:r w:rsidR="00C15E39" w:rsidRPr="007F3E67">
        <w:rPr>
          <w:lang w:val="fr-FR"/>
        </w:rPr>
        <w:t>, il fut transféré</w:t>
      </w:r>
      <w:r w:rsidRPr="007F3E67">
        <w:rPr>
          <w:lang w:val="fr-FR"/>
        </w:rPr>
        <w:t xml:space="preserve"> dans une prison dont le nom n</w:t>
      </w:r>
      <w:r w:rsidR="007F3E67" w:rsidRPr="007F3E67">
        <w:rPr>
          <w:lang w:val="fr-FR"/>
        </w:rPr>
        <w:t>’</w:t>
      </w:r>
      <w:r w:rsidRPr="007F3E67">
        <w:rPr>
          <w:lang w:val="fr-FR"/>
        </w:rPr>
        <w:t xml:space="preserve">est pas précisé </w:t>
      </w:r>
      <w:r w:rsidR="00C15E39" w:rsidRPr="007F3E67">
        <w:rPr>
          <w:lang w:val="fr-FR"/>
        </w:rPr>
        <w:t xml:space="preserve">dans le dossier, </w:t>
      </w:r>
      <w:r w:rsidRPr="007F3E67">
        <w:rPr>
          <w:lang w:val="fr-FR"/>
        </w:rPr>
        <w:t>sans avoir pu s</w:t>
      </w:r>
      <w:r w:rsidR="007F3E67" w:rsidRPr="007F3E67">
        <w:rPr>
          <w:lang w:val="fr-FR"/>
        </w:rPr>
        <w:t>’</w:t>
      </w:r>
      <w:r w:rsidRPr="007F3E67">
        <w:rPr>
          <w:lang w:val="fr-FR"/>
        </w:rPr>
        <w:t>entretenir avec les autorités diplomatiques de son pays.</w:t>
      </w:r>
    </w:p>
    <w:p w:rsidR="00E235F1" w:rsidRPr="007F3E67" w:rsidRDefault="00E235F1" w:rsidP="007F3E67">
      <w:pPr>
        <w:pStyle w:val="ECHRPara"/>
        <w:rPr>
          <w:lang w:val="fr-FR"/>
        </w:rPr>
      </w:pPr>
      <w:r w:rsidRPr="007F3E67">
        <w:rPr>
          <w:lang w:val="fr-FR"/>
        </w:rPr>
        <w:fldChar w:fldCharType="begin"/>
      </w:r>
      <w:r w:rsidRPr="007F3E67">
        <w:rPr>
          <w:lang w:val="fr-FR"/>
        </w:rPr>
        <w:instrText xml:space="preserve"> SEQ level0 \*arabic </w:instrText>
      </w:r>
      <w:r w:rsidRPr="007F3E67">
        <w:rPr>
          <w:lang w:val="fr-FR"/>
        </w:rPr>
        <w:fldChar w:fldCharType="separate"/>
      </w:r>
      <w:r w:rsidR="007F3E67" w:rsidRPr="007F3E67">
        <w:rPr>
          <w:noProof/>
          <w:lang w:val="fr-FR"/>
        </w:rPr>
        <w:t>23</w:t>
      </w:r>
      <w:r w:rsidRPr="007F3E67">
        <w:rPr>
          <w:lang w:val="fr-FR"/>
        </w:rPr>
        <w:fldChar w:fldCharType="end"/>
      </w:r>
      <w:r w:rsidRPr="007F3E67">
        <w:rPr>
          <w:lang w:val="fr-FR"/>
        </w:rPr>
        <w:t>.  M. Ghivizzani fut arrêté le 20 juillet en début d</w:t>
      </w:r>
      <w:r w:rsidR="007F3E67" w:rsidRPr="007F3E67">
        <w:rPr>
          <w:lang w:val="fr-FR"/>
        </w:rPr>
        <w:t>’</w:t>
      </w:r>
      <w:r w:rsidRPr="007F3E67">
        <w:rPr>
          <w:lang w:val="fr-FR"/>
        </w:rPr>
        <w:t xml:space="preserve">après-midi et laissé les </w:t>
      </w:r>
      <w:r w:rsidR="00953B6F" w:rsidRPr="007F3E67">
        <w:rPr>
          <w:lang w:val="fr-FR"/>
        </w:rPr>
        <w:t xml:space="preserve">mains </w:t>
      </w:r>
      <w:r w:rsidRPr="007F3E67">
        <w:rPr>
          <w:lang w:val="fr-FR"/>
        </w:rPr>
        <w:t>lié</w:t>
      </w:r>
      <w:r w:rsidR="00953B6F" w:rsidRPr="007F3E67">
        <w:rPr>
          <w:lang w:val="fr-FR"/>
        </w:rPr>
        <w:t>e</w:t>
      </w:r>
      <w:r w:rsidRPr="007F3E67">
        <w:rPr>
          <w:lang w:val="fr-FR"/>
        </w:rPr>
        <w:t>s en plein soleil. Arrivé à la caserne de Bolzaneto vers 17 heures, il fut placé debout face au mur d</w:t>
      </w:r>
      <w:r w:rsidR="007F3E67" w:rsidRPr="007F3E67">
        <w:rPr>
          <w:lang w:val="fr-FR"/>
        </w:rPr>
        <w:t>’</w:t>
      </w:r>
      <w:r w:rsidRPr="007F3E67">
        <w:rPr>
          <w:lang w:val="fr-FR"/>
        </w:rPr>
        <w:t xml:space="preserve">une cellule. Il fut </w:t>
      </w:r>
      <w:r w:rsidR="001C3194" w:rsidRPr="007F3E67">
        <w:rPr>
          <w:lang w:val="fr-FR"/>
        </w:rPr>
        <w:t xml:space="preserve">traité </w:t>
      </w:r>
      <w:r w:rsidR="00043E64" w:rsidRPr="007F3E67">
        <w:rPr>
          <w:lang w:val="fr-FR"/>
        </w:rPr>
        <w:t xml:space="preserve">de </w:t>
      </w:r>
      <w:r w:rsidRPr="007F3E67">
        <w:rPr>
          <w:szCs w:val="24"/>
          <w:lang w:val="fr-FR"/>
        </w:rPr>
        <w:t>« connard de communiste »</w:t>
      </w:r>
      <w:r w:rsidR="00043E64" w:rsidRPr="007F3E67">
        <w:rPr>
          <w:szCs w:val="24"/>
          <w:lang w:val="fr-FR"/>
        </w:rPr>
        <w:t xml:space="preserve"> et de</w:t>
      </w:r>
      <w:r w:rsidRPr="007F3E67">
        <w:rPr>
          <w:szCs w:val="24"/>
          <w:lang w:val="fr-FR"/>
        </w:rPr>
        <w:t xml:space="preserve"> « salaud »</w:t>
      </w:r>
      <w:r w:rsidRPr="007F3E67">
        <w:rPr>
          <w:lang w:val="fr-FR"/>
        </w:rPr>
        <w:t xml:space="preserve">, </w:t>
      </w:r>
      <w:r w:rsidR="00953B6F" w:rsidRPr="007F3E67">
        <w:rPr>
          <w:lang w:val="fr-FR"/>
        </w:rPr>
        <w:t xml:space="preserve">et reçut </w:t>
      </w:r>
      <w:r w:rsidRPr="007F3E67">
        <w:rPr>
          <w:lang w:val="fr-FR"/>
        </w:rPr>
        <w:t xml:space="preserve">à plusieurs reprises </w:t>
      </w:r>
      <w:r w:rsidR="00043E64" w:rsidRPr="007F3E67">
        <w:rPr>
          <w:lang w:val="fr-FR"/>
        </w:rPr>
        <w:t xml:space="preserve">des </w:t>
      </w:r>
      <w:r w:rsidRPr="007F3E67">
        <w:rPr>
          <w:lang w:val="fr-FR"/>
        </w:rPr>
        <w:t>coups de pied aux chevilles</w:t>
      </w:r>
      <w:r w:rsidR="00043E64" w:rsidRPr="007F3E67">
        <w:rPr>
          <w:lang w:val="fr-FR"/>
        </w:rPr>
        <w:t xml:space="preserve"> et des</w:t>
      </w:r>
      <w:r w:rsidRPr="007F3E67">
        <w:rPr>
          <w:lang w:val="fr-FR"/>
        </w:rPr>
        <w:t xml:space="preserve"> coups de matraque sur tout le corps ; on lui cogna la tête contre le mur et on lui écrasa une cigarette allumée sur un poignet. </w:t>
      </w:r>
      <w:r w:rsidR="0053342E" w:rsidRPr="007F3E67">
        <w:rPr>
          <w:lang w:val="fr-FR"/>
        </w:rPr>
        <w:t>À</w:t>
      </w:r>
      <w:r w:rsidRPr="007F3E67">
        <w:rPr>
          <w:lang w:val="fr-FR"/>
        </w:rPr>
        <w:t xml:space="preserve"> l</w:t>
      </w:r>
      <w:r w:rsidR="007F3E67" w:rsidRPr="007F3E67">
        <w:rPr>
          <w:lang w:val="fr-FR"/>
        </w:rPr>
        <w:t>’</w:t>
      </w:r>
      <w:r w:rsidRPr="007F3E67">
        <w:rPr>
          <w:lang w:val="fr-FR"/>
        </w:rPr>
        <w:t>a</w:t>
      </w:r>
      <w:r w:rsidR="00723F76" w:rsidRPr="007F3E67">
        <w:rPr>
          <w:lang w:val="fr-FR"/>
        </w:rPr>
        <w:t>ube</w:t>
      </w:r>
      <w:r w:rsidRPr="007F3E67">
        <w:rPr>
          <w:lang w:val="fr-FR"/>
        </w:rPr>
        <w:t>, un médecin ordonna aux agents d</w:t>
      </w:r>
      <w:r w:rsidR="007F3E67" w:rsidRPr="007F3E67">
        <w:rPr>
          <w:lang w:val="fr-FR"/>
        </w:rPr>
        <w:t>’</w:t>
      </w:r>
      <w:r w:rsidRPr="007F3E67">
        <w:rPr>
          <w:lang w:val="fr-FR"/>
        </w:rPr>
        <w:t xml:space="preserve">ôter les liens qui </w:t>
      </w:r>
      <w:r w:rsidRPr="007F3E67">
        <w:rPr>
          <w:lang w:val="fr-FR"/>
        </w:rPr>
        <w:lastRenderedPageBreak/>
        <w:t xml:space="preserve">entravaient les poignets </w:t>
      </w:r>
      <w:r w:rsidR="00043E64" w:rsidRPr="007F3E67">
        <w:rPr>
          <w:lang w:val="fr-FR"/>
        </w:rPr>
        <w:t>de l</w:t>
      </w:r>
      <w:r w:rsidR="007F3E67" w:rsidRPr="007F3E67">
        <w:rPr>
          <w:lang w:val="fr-FR"/>
        </w:rPr>
        <w:t>’</w:t>
      </w:r>
      <w:r w:rsidR="00043E64" w:rsidRPr="007F3E67">
        <w:rPr>
          <w:lang w:val="fr-FR"/>
        </w:rPr>
        <w:t>intéressé</w:t>
      </w:r>
      <w:r w:rsidRPr="007F3E67">
        <w:rPr>
          <w:lang w:val="fr-FR"/>
        </w:rPr>
        <w:t>. Avant d</w:t>
      </w:r>
      <w:r w:rsidR="007F3E67" w:rsidRPr="007F3E67">
        <w:rPr>
          <w:lang w:val="fr-FR"/>
        </w:rPr>
        <w:t>’</w:t>
      </w:r>
      <w:r w:rsidRPr="007F3E67">
        <w:rPr>
          <w:lang w:val="fr-FR"/>
        </w:rPr>
        <w:t xml:space="preserve">être identifié, </w:t>
      </w:r>
      <w:r w:rsidR="00043E64" w:rsidRPr="007F3E67">
        <w:rPr>
          <w:lang w:val="fr-FR"/>
        </w:rPr>
        <w:t xml:space="preserve">ce dernier </w:t>
      </w:r>
      <w:r w:rsidRPr="007F3E67">
        <w:rPr>
          <w:lang w:val="fr-FR"/>
        </w:rPr>
        <w:t>dut se dévêtir et passer entre des agents qui le frappèrent sur la nuque, le dos</w:t>
      </w:r>
      <w:r w:rsidR="00043E64" w:rsidRPr="007F3E67">
        <w:rPr>
          <w:lang w:val="fr-FR"/>
        </w:rPr>
        <w:t xml:space="preserve"> et</w:t>
      </w:r>
      <w:r w:rsidRPr="007F3E67">
        <w:rPr>
          <w:lang w:val="fr-FR"/>
        </w:rPr>
        <w:t xml:space="preserve"> les fesses. </w:t>
      </w:r>
      <w:r w:rsidR="0053342E" w:rsidRPr="007F3E67">
        <w:rPr>
          <w:lang w:val="fr-FR"/>
        </w:rPr>
        <w:t>À</w:t>
      </w:r>
      <w:r w:rsidRPr="007F3E67">
        <w:rPr>
          <w:lang w:val="fr-FR"/>
        </w:rPr>
        <w:t xml:space="preserve"> l</w:t>
      </w:r>
      <w:r w:rsidR="007F3E67" w:rsidRPr="007F3E67">
        <w:rPr>
          <w:lang w:val="fr-FR"/>
        </w:rPr>
        <w:t>’</w:t>
      </w:r>
      <w:r w:rsidRPr="007F3E67">
        <w:rPr>
          <w:lang w:val="fr-FR"/>
        </w:rPr>
        <w:t xml:space="preserve">infirmerie, il </w:t>
      </w:r>
      <w:r w:rsidR="004379DA" w:rsidRPr="007F3E67">
        <w:rPr>
          <w:lang w:val="fr-FR"/>
        </w:rPr>
        <w:t>f</w:t>
      </w:r>
      <w:r w:rsidRPr="007F3E67">
        <w:rPr>
          <w:lang w:val="fr-FR"/>
        </w:rPr>
        <w:t>ut menacé d</w:t>
      </w:r>
      <w:r w:rsidR="007F3E67" w:rsidRPr="007F3E67">
        <w:rPr>
          <w:lang w:val="fr-FR"/>
        </w:rPr>
        <w:t>’</w:t>
      </w:r>
      <w:r w:rsidRPr="007F3E67">
        <w:rPr>
          <w:lang w:val="fr-FR"/>
        </w:rPr>
        <w:t>une fouille rectale et obligé</w:t>
      </w:r>
      <w:r w:rsidR="004379DA" w:rsidRPr="007F3E67">
        <w:rPr>
          <w:lang w:val="fr-FR"/>
        </w:rPr>
        <w:t xml:space="preserve"> de se déshabiller </w:t>
      </w:r>
      <w:r w:rsidR="00723F76" w:rsidRPr="007F3E67">
        <w:rPr>
          <w:lang w:val="fr-FR"/>
        </w:rPr>
        <w:t xml:space="preserve">totalement </w:t>
      </w:r>
      <w:r w:rsidR="004379DA" w:rsidRPr="007F3E67">
        <w:rPr>
          <w:lang w:val="fr-FR"/>
        </w:rPr>
        <w:t>et</w:t>
      </w:r>
      <w:r w:rsidR="00301040" w:rsidRPr="007F3E67">
        <w:rPr>
          <w:lang w:val="fr-FR"/>
        </w:rPr>
        <w:t xml:space="preserve"> </w:t>
      </w:r>
      <w:r w:rsidRPr="007F3E67">
        <w:rPr>
          <w:lang w:val="fr-FR"/>
        </w:rPr>
        <w:t>de faire des pompes nu</w:t>
      </w:r>
      <w:r w:rsidR="00043E64" w:rsidRPr="007F3E67">
        <w:rPr>
          <w:lang w:val="fr-FR"/>
        </w:rPr>
        <w:t>. I</w:t>
      </w:r>
      <w:r w:rsidRPr="007F3E67">
        <w:rPr>
          <w:lang w:val="fr-FR"/>
        </w:rPr>
        <w:t xml:space="preserve">l ne reçut </w:t>
      </w:r>
      <w:r w:rsidR="00723F76" w:rsidRPr="007F3E67">
        <w:rPr>
          <w:lang w:val="fr-FR"/>
        </w:rPr>
        <w:t>aucun</w:t>
      </w:r>
      <w:r w:rsidRPr="007F3E67">
        <w:rPr>
          <w:lang w:val="fr-FR"/>
        </w:rPr>
        <w:t xml:space="preserve"> soin pour </w:t>
      </w:r>
      <w:r w:rsidR="00043E64" w:rsidRPr="007F3E67">
        <w:rPr>
          <w:lang w:val="fr-FR"/>
        </w:rPr>
        <w:t>les lésions qu</w:t>
      </w:r>
      <w:r w:rsidR="007F3E67" w:rsidRPr="007F3E67">
        <w:rPr>
          <w:lang w:val="fr-FR"/>
        </w:rPr>
        <w:t>’</w:t>
      </w:r>
      <w:r w:rsidR="00043E64" w:rsidRPr="007F3E67">
        <w:rPr>
          <w:lang w:val="fr-FR"/>
        </w:rPr>
        <w:t xml:space="preserve">il présentait aux </w:t>
      </w:r>
      <w:r w:rsidRPr="007F3E67">
        <w:rPr>
          <w:lang w:val="fr-FR"/>
        </w:rPr>
        <w:t>mains. On ne lui permit pas d</w:t>
      </w:r>
      <w:r w:rsidR="007F3E67" w:rsidRPr="007F3E67">
        <w:rPr>
          <w:lang w:val="fr-FR"/>
        </w:rPr>
        <w:t>’</w:t>
      </w:r>
      <w:r w:rsidRPr="007F3E67">
        <w:rPr>
          <w:lang w:val="fr-FR"/>
        </w:rPr>
        <w:t>aller aux toilettes. Le 21 juillet, à 5 heures, il fut transféré à la prison d</w:t>
      </w:r>
      <w:r w:rsidR="007F3E67" w:rsidRPr="007F3E67">
        <w:rPr>
          <w:lang w:val="fr-FR"/>
        </w:rPr>
        <w:t>’</w:t>
      </w:r>
      <w:r w:rsidRPr="007F3E67">
        <w:rPr>
          <w:lang w:val="fr-FR"/>
        </w:rPr>
        <w:t>Alexandrie.</w:t>
      </w:r>
    </w:p>
    <w:p w:rsidR="00E235F1" w:rsidRPr="007F3E67" w:rsidRDefault="00E235F1" w:rsidP="007F3E67">
      <w:pPr>
        <w:pStyle w:val="ECHRPara"/>
        <w:rPr>
          <w:lang w:val="fr-FR"/>
        </w:rPr>
      </w:pPr>
      <w:r w:rsidRPr="007F3E67">
        <w:rPr>
          <w:lang w:val="fr-FR"/>
        </w:rPr>
        <w:fldChar w:fldCharType="begin"/>
      </w:r>
      <w:r w:rsidRPr="007F3E67">
        <w:rPr>
          <w:lang w:val="fr-FR"/>
        </w:rPr>
        <w:instrText xml:space="preserve"> SEQ level0 \*arabic </w:instrText>
      </w:r>
      <w:r w:rsidRPr="007F3E67">
        <w:rPr>
          <w:lang w:val="fr-FR"/>
        </w:rPr>
        <w:fldChar w:fldCharType="separate"/>
      </w:r>
      <w:r w:rsidR="007F3E67" w:rsidRPr="007F3E67">
        <w:rPr>
          <w:noProof/>
          <w:lang w:val="fr-FR"/>
        </w:rPr>
        <w:t>24</w:t>
      </w:r>
      <w:r w:rsidRPr="007F3E67">
        <w:rPr>
          <w:lang w:val="fr-FR"/>
        </w:rPr>
        <w:fldChar w:fldCharType="end"/>
      </w:r>
      <w:r w:rsidRPr="007F3E67">
        <w:rPr>
          <w:lang w:val="fr-FR"/>
        </w:rPr>
        <w:t>.  M. Herrmann fut arrêté à l</w:t>
      </w:r>
      <w:r w:rsidR="007F3E67" w:rsidRPr="007F3E67">
        <w:rPr>
          <w:lang w:val="fr-FR"/>
        </w:rPr>
        <w:t>’</w:t>
      </w:r>
      <w:r w:rsidRPr="007F3E67">
        <w:rPr>
          <w:lang w:val="fr-FR"/>
        </w:rPr>
        <w:t>école Diaz-Pertini, transporté à l</w:t>
      </w:r>
      <w:r w:rsidR="007F3E67" w:rsidRPr="007F3E67">
        <w:rPr>
          <w:lang w:val="fr-FR"/>
        </w:rPr>
        <w:t>’</w:t>
      </w:r>
      <w:r w:rsidRPr="007F3E67">
        <w:rPr>
          <w:lang w:val="fr-FR"/>
        </w:rPr>
        <w:t>hôpital</w:t>
      </w:r>
      <w:r w:rsidR="001C3194" w:rsidRPr="007F3E67">
        <w:rPr>
          <w:lang w:val="fr-FR"/>
        </w:rPr>
        <w:t>,</w:t>
      </w:r>
      <w:r w:rsidRPr="007F3E67">
        <w:rPr>
          <w:lang w:val="fr-FR"/>
        </w:rPr>
        <w:t xml:space="preserve"> puis transféré à la caserne de Bolzaneto le 22 juillet, à l</w:t>
      </w:r>
      <w:r w:rsidR="007F3E67" w:rsidRPr="007F3E67">
        <w:rPr>
          <w:lang w:val="fr-FR"/>
        </w:rPr>
        <w:t>’</w:t>
      </w:r>
      <w:r w:rsidRPr="007F3E67">
        <w:rPr>
          <w:lang w:val="fr-FR"/>
        </w:rPr>
        <w:t xml:space="preserve">aube. </w:t>
      </w:r>
      <w:r w:rsidR="0053342E" w:rsidRPr="007F3E67">
        <w:rPr>
          <w:lang w:val="fr-FR"/>
        </w:rPr>
        <w:t>À</w:t>
      </w:r>
      <w:r w:rsidRPr="007F3E67">
        <w:rPr>
          <w:lang w:val="fr-FR"/>
        </w:rPr>
        <w:t xml:space="preserve"> son arrivée</w:t>
      </w:r>
      <w:r w:rsidR="00D75BC2" w:rsidRPr="007F3E67">
        <w:rPr>
          <w:lang w:val="fr-FR"/>
        </w:rPr>
        <w:t xml:space="preserve"> à la caserne,</w:t>
      </w:r>
      <w:r w:rsidRPr="007F3E67">
        <w:rPr>
          <w:lang w:val="fr-FR"/>
        </w:rPr>
        <w:t xml:space="preserve"> il fut placé contre un mur ; un policier lui marqua </w:t>
      </w:r>
      <w:r w:rsidR="00D75BC2" w:rsidRPr="007F3E67">
        <w:rPr>
          <w:lang w:val="fr-FR"/>
        </w:rPr>
        <w:t>la joue gauche d</w:t>
      </w:r>
      <w:r w:rsidR="007F3E67" w:rsidRPr="007F3E67">
        <w:rPr>
          <w:lang w:val="fr-FR"/>
        </w:rPr>
        <w:t>’</w:t>
      </w:r>
      <w:r w:rsidR="00D75BC2" w:rsidRPr="007F3E67">
        <w:rPr>
          <w:lang w:val="fr-FR"/>
        </w:rPr>
        <w:t>une croix à l</w:t>
      </w:r>
      <w:r w:rsidR="007F3E67" w:rsidRPr="007F3E67">
        <w:rPr>
          <w:lang w:val="fr-FR"/>
        </w:rPr>
        <w:t>’</w:t>
      </w:r>
      <w:r w:rsidR="00D75BC2" w:rsidRPr="007F3E67">
        <w:rPr>
          <w:lang w:val="fr-FR"/>
        </w:rPr>
        <w:t>aide d</w:t>
      </w:r>
      <w:r w:rsidR="007F3E67" w:rsidRPr="007F3E67">
        <w:rPr>
          <w:lang w:val="fr-FR"/>
        </w:rPr>
        <w:t>’</w:t>
      </w:r>
      <w:r w:rsidR="00D75BC2" w:rsidRPr="007F3E67">
        <w:rPr>
          <w:lang w:val="fr-FR"/>
        </w:rPr>
        <w:t>un feutre</w:t>
      </w:r>
      <w:r w:rsidRPr="007F3E67">
        <w:rPr>
          <w:lang w:val="fr-FR"/>
        </w:rPr>
        <w:t xml:space="preserve"> tandis que d</w:t>
      </w:r>
      <w:r w:rsidR="007F3E67" w:rsidRPr="007F3E67">
        <w:rPr>
          <w:lang w:val="fr-FR"/>
        </w:rPr>
        <w:t>’</w:t>
      </w:r>
      <w:r w:rsidRPr="007F3E67">
        <w:rPr>
          <w:lang w:val="fr-FR"/>
        </w:rPr>
        <w:t xml:space="preserve">autres policiers faisaient le salut </w:t>
      </w:r>
      <w:r w:rsidRPr="007F3E67">
        <w:rPr>
          <w:szCs w:val="24"/>
          <w:lang w:val="fr-FR" w:eastAsia="en-GB"/>
        </w:rPr>
        <w:t>hitlérien (</w:t>
      </w:r>
      <w:r w:rsidRPr="007F3E67">
        <w:rPr>
          <w:i/>
          <w:szCs w:val="24"/>
          <w:lang w:val="fr-FR" w:eastAsia="en-GB"/>
        </w:rPr>
        <w:t>saluto romano</w:t>
      </w:r>
      <w:r w:rsidRPr="007F3E67">
        <w:rPr>
          <w:szCs w:val="24"/>
          <w:lang w:val="fr-FR" w:eastAsia="en-GB"/>
        </w:rPr>
        <w:t>)</w:t>
      </w:r>
      <w:r w:rsidRPr="007F3E67">
        <w:rPr>
          <w:lang w:val="fr-FR"/>
        </w:rPr>
        <w:t>. Il fut fouillé, privé de ses objets personnels puis traîné par les cheveux sur les genoux par un agent le long d</w:t>
      </w:r>
      <w:r w:rsidR="007F3E67" w:rsidRPr="007F3E67">
        <w:rPr>
          <w:lang w:val="fr-FR"/>
        </w:rPr>
        <w:t>’</w:t>
      </w:r>
      <w:r w:rsidRPr="007F3E67">
        <w:rPr>
          <w:lang w:val="fr-FR"/>
        </w:rPr>
        <w:t>un couloir où d</w:t>
      </w:r>
      <w:r w:rsidR="007F3E67" w:rsidRPr="007F3E67">
        <w:rPr>
          <w:lang w:val="fr-FR"/>
        </w:rPr>
        <w:t>’</w:t>
      </w:r>
      <w:r w:rsidRPr="007F3E67">
        <w:rPr>
          <w:lang w:val="fr-FR"/>
        </w:rPr>
        <w:t xml:space="preserve">autres agents </w:t>
      </w:r>
      <w:r w:rsidR="00D75BC2" w:rsidRPr="007F3E67">
        <w:rPr>
          <w:lang w:val="fr-FR"/>
        </w:rPr>
        <w:t>l</w:t>
      </w:r>
      <w:r w:rsidR="007F3E67" w:rsidRPr="007F3E67">
        <w:rPr>
          <w:lang w:val="fr-FR"/>
        </w:rPr>
        <w:t>’</w:t>
      </w:r>
      <w:r w:rsidR="00D75BC2" w:rsidRPr="007F3E67">
        <w:rPr>
          <w:lang w:val="fr-FR"/>
        </w:rPr>
        <w:t xml:space="preserve">insultèrent </w:t>
      </w:r>
      <w:r w:rsidRPr="007F3E67">
        <w:rPr>
          <w:lang w:val="fr-FR"/>
        </w:rPr>
        <w:t xml:space="preserve">et le </w:t>
      </w:r>
      <w:r w:rsidR="00D75BC2" w:rsidRPr="007F3E67">
        <w:rPr>
          <w:lang w:val="fr-FR"/>
        </w:rPr>
        <w:t xml:space="preserve">frappèrent </w:t>
      </w:r>
      <w:r w:rsidRPr="007F3E67">
        <w:rPr>
          <w:lang w:val="fr-FR"/>
        </w:rPr>
        <w:t>à coups de pied. Placé dans une cellule avec une vingtaine de personnes, il dut rester debout, jambes écartées et face contre le mur. Les agents contrôlèrent plusieurs fois les noms des occupants de la cellule tout en les bousculant violemment</w:t>
      </w:r>
      <w:r w:rsidR="00105230" w:rsidRPr="007F3E67">
        <w:rPr>
          <w:lang w:val="fr-FR"/>
        </w:rPr>
        <w:t>. À</w:t>
      </w:r>
      <w:r w:rsidRPr="007F3E67">
        <w:rPr>
          <w:lang w:val="fr-FR"/>
        </w:rPr>
        <w:t xml:space="preserve"> maintes reprises, ceux-ci furent l</w:t>
      </w:r>
      <w:r w:rsidR="007F3E67" w:rsidRPr="007F3E67">
        <w:rPr>
          <w:lang w:val="fr-FR"/>
        </w:rPr>
        <w:t>’</w:t>
      </w:r>
      <w:r w:rsidRPr="007F3E67">
        <w:rPr>
          <w:lang w:val="fr-FR"/>
        </w:rPr>
        <w:t>objet d</w:t>
      </w:r>
      <w:r w:rsidR="007F3E67" w:rsidRPr="007F3E67">
        <w:rPr>
          <w:lang w:val="fr-FR"/>
        </w:rPr>
        <w:t>’</w:t>
      </w:r>
      <w:r w:rsidRPr="007F3E67">
        <w:rPr>
          <w:lang w:val="fr-FR"/>
        </w:rPr>
        <w:t>injures fascistes et de crachats provenant de l</w:t>
      </w:r>
      <w:r w:rsidR="007F3E67" w:rsidRPr="007F3E67">
        <w:rPr>
          <w:lang w:val="fr-FR"/>
        </w:rPr>
        <w:t>’</w:t>
      </w:r>
      <w:r w:rsidRPr="007F3E67">
        <w:rPr>
          <w:lang w:val="fr-FR"/>
        </w:rPr>
        <w:t>extérieur de la cellule. Lors d</w:t>
      </w:r>
      <w:r w:rsidR="007F3E67" w:rsidRPr="007F3E67">
        <w:rPr>
          <w:lang w:val="fr-FR"/>
        </w:rPr>
        <w:t>’</w:t>
      </w:r>
      <w:r w:rsidRPr="007F3E67">
        <w:rPr>
          <w:lang w:val="fr-FR"/>
        </w:rPr>
        <w:t>un nouveau contrôle, le requérant indiqua aux policiers qu</w:t>
      </w:r>
      <w:r w:rsidR="007F3E67" w:rsidRPr="007F3E67">
        <w:rPr>
          <w:lang w:val="fr-FR"/>
        </w:rPr>
        <w:t>’</w:t>
      </w:r>
      <w:r w:rsidRPr="007F3E67">
        <w:rPr>
          <w:lang w:val="fr-FR"/>
        </w:rPr>
        <w:t xml:space="preserve">il était journaliste et demanda en vain à pouvoir communiquer avec la rédaction de son journal, avec les autorités diplomatiques de son pays ou avec un avocat. </w:t>
      </w:r>
      <w:r w:rsidR="0053342E" w:rsidRPr="007F3E67">
        <w:rPr>
          <w:lang w:val="fr-FR"/>
        </w:rPr>
        <w:t>À</w:t>
      </w:r>
      <w:r w:rsidRPr="007F3E67">
        <w:rPr>
          <w:lang w:val="fr-FR"/>
        </w:rPr>
        <w:t xml:space="preserve"> la fin de la procédure d</w:t>
      </w:r>
      <w:r w:rsidR="007F3E67" w:rsidRPr="007F3E67">
        <w:rPr>
          <w:lang w:val="fr-FR"/>
        </w:rPr>
        <w:t>’</w:t>
      </w:r>
      <w:r w:rsidRPr="007F3E67">
        <w:rPr>
          <w:lang w:val="fr-FR"/>
        </w:rPr>
        <w:t xml:space="preserve">identification, </w:t>
      </w:r>
      <w:r w:rsidR="00953B6F" w:rsidRPr="007F3E67">
        <w:rPr>
          <w:lang w:val="fr-FR"/>
        </w:rPr>
        <w:t>il fut autorisé</w:t>
      </w:r>
      <w:r w:rsidRPr="007F3E67">
        <w:rPr>
          <w:lang w:val="fr-FR"/>
        </w:rPr>
        <w:t xml:space="preserve"> à se rendre aux toilettes en passant tête baissée entre des agents qui l</w:t>
      </w:r>
      <w:r w:rsidR="007F3E67" w:rsidRPr="007F3E67">
        <w:rPr>
          <w:lang w:val="fr-FR"/>
        </w:rPr>
        <w:t>’</w:t>
      </w:r>
      <w:r w:rsidRPr="007F3E67">
        <w:rPr>
          <w:lang w:val="fr-FR"/>
        </w:rPr>
        <w:t>insultaient et le poussaient</w:t>
      </w:r>
      <w:r w:rsidR="00953B6F" w:rsidRPr="007F3E67">
        <w:rPr>
          <w:lang w:val="fr-FR"/>
        </w:rPr>
        <w:t xml:space="preserve">. Il put également </w:t>
      </w:r>
      <w:r w:rsidRPr="007F3E67">
        <w:rPr>
          <w:lang w:val="fr-FR"/>
        </w:rPr>
        <w:t xml:space="preserve">se laver et se changer, toujours sous la surveillance des policiers. Il fut obligé </w:t>
      </w:r>
      <w:r w:rsidR="00D75BC2" w:rsidRPr="007F3E67">
        <w:rPr>
          <w:lang w:val="fr-FR"/>
        </w:rPr>
        <w:t xml:space="preserve">par </w:t>
      </w:r>
      <w:r w:rsidRPr="007F3E67">
        <w:rPr>
          <w:lang w:val="fr-FR"/>
        </w:rPr>
        <w:t xml:space="preserve">deux fois de ramasser ses effets personnels qui avaient été jetés </w:t>
      </w:r>
      <w:r w:rsidR="00D75BC2" w:rsidRPr="007F3E67">
        <w:rPr>
          <w:lang w:val="fr-FR"/>
        </w:rPr>
        <w:t>au</w:t>
      </w:r>
      <w:r w:rsidRPr="007F3E67">
        <w:rPr>
          <w:lang w:val="fr-FR"/>
        </w:rPr>
        <w:t xml:space="preserve"> sol pendant qu</w:t>
      </w:r>
      <w:r w:rsidR="007F3E67" w:rsidRPr="007F3E67">
        <w:rPr>
          <w:lang w:val="fr-FR"/>
        </w:rPr>
        <w:t>’</w:t>
      </w:r>
      <w:r w:rsidRPr="007F3E67">
        <w:rPr>
          <w:lang w:val="fr-FR"/>
        </w:rPr>
        <w:t>un agent lui maintenait la tête vers le bas. Dans un bureau, il fut obligé de se dévêtir puis de faire des pompes et des pirouettes par terre et, enfin, de signer des documents rédigés uniquement en italien. Le 23 juillet au matin, il fut menotté à une autre personne et conduit à la prison de Pavie.</w:t>
      </w:r>
    </w:p>
    <w:p w:rsidR="00E235F1" w:rsidRPr="007F3E67" w:rsidRDefault="00E235F1" w:rsidP="007F3E67">
      <w:pPr>
        <w:pStyle w:val="ECHRPara"/>
        <w:rPr>
          <w:lang w:val="fr-FR"/>
        </w:rPr>
      </w:pPr>
      <w:r w:rsidRPr="007F3E67">
        <w:rPr>
          <w:lang w:val="fr-FR"/>
        </w:rPr>
        <w:fldChar w:fldCharType="begin"/>
      </w:r>
      <w:r w:rsidRPr="007F3E67">
        <w:rPr>
          <w:lang w:val="fr-FR"/>
        </w:rPr>
        <w:instrText xml:space="preserve"> SEQ level0 \*arabic </w:instrText>
      </w:r>
      <w:r w:rsidRPr="007F3E67">
        <w:rPr>
          <w:lang w:val="fr-FR"/>
        </w:rPr>
        <w:fldChar w:fldCharType="separate"/>
      </w:r>
      <w:r w:rsidR="007F3E67" w:rsidRPr="007F3E67">
        <w:rPr>
          <w:noProof/>
          <w:lang w:val="fr-FR"/>
        </w:rPr>
        <w:t>25</w:t>
      </w:r>
      <w:r w:rsidRPr="007F3E67">
        <w:rPr>
          <w:lang w:val="fr-FR"/>
        </w:rPr>
        <w:fldChar w:fldCharType="end"/>
      </w:r>
      <w:r w:rsidRPr="007F3E67">
        <w:rPr>
          <w:lang w:val="fr-FR"/>
        </w:rPr>
        <w:t>.  M. Moth fut arrêté à l</w:t>
      </w:r>
      <w:r w:rsidR="007F3E67" w:rsidRPr="007F3E67">
        <w:rPr>
          <w:lang w:val="fr-FR"/>
        </w:rPr>
        <w:t>’</w:t>
      </w:r>
      <w:r w:rsidRPr="007F3E67">
        <w:rPr>
          <w:lang w:val="fr-FR"/>
        </w:rPr>
        <w:t>école Diaz-Pertini et transporté à l</w:t>
      </w:r>
      <w:r w:rsidR="007F3E67" w:rsidRPr="007F3E67">
        <w:rPr>
          <w:lang w:val="fr-FR"/>
        </w:rPr>
        <w:t>’</w:t>
      </w:r>
      <w:r w:rsidRPr="007F3E67">
        <w:rPr>
          <w:lang w:val="fr-FR"/>
        </w:rPr>
        <w:t xml:space="preserve">hôpital </w:t>
      </w:r>
      <w:r w:rsidR="00D75BC2" w:rsidRPr="007F3E67">
        <w:rPr>
          <w:lang w:val="fr-FR"/>
        </w:rPr>
        <w:t>afin d</w:t>
      </w:r>
      <w:r w:rsidR="007F3E67" w:rsidRPr="007F3E67">
        <w:rPr>
          <w:lang w:val="fr-FR"/>
        </w:rPr>
        <w:t>’</w:t>
      </w:r>
      <w:r w:rsidR="00D75BC2" w:rsidRPr="007F3E67">
        <w:rPr>
          <w:lang w:val="fr-FR"/>
        </w:rPr>
        <w:t xml:space="preserve">y être soigné pour </w:t>
      </w:r>
      <w:r w:rsidRPr="007F3E67">
        <w:rPr>
          <w:lang w:val="fr-FR"/>
        </w:rPr>
        <w:t xml:space="preserve">une blessure à la tête, une autre à un mollet et plusieurs ecchymoses. </w:t>
      </w:r>
      <w:r w:rsidR="00F50DAF" w:rsidRPr="007F3E67">
        <w:rPr>
          <w:lang w:val="fr-FR"/>
        </w:rPr>
        <w:t>À</w:t>
      </w:r>
      <w:r w:rsidRPr="007F3E67">
        <w:rPr>
          <w:lang w:val="fr-FR"/>
        </w:rPr>
        <w:t xml:space="preserve"> son arrivée à la caserne de Bolzaneto</w:t>
      </w:r>
      <w:r w:rsidR="007F3E67" w:rsidRPr="007F3E67">
        <w:rPr>
          <w:lang w:val="fr-FR"/>
        </w:rPr>
        <w:t>, dans la nuit du 21 au </w:t>
      </w:r>
      <w:r w:rsidRPr="007F3E67">
        <w:rPr>
          <w:lang w:val="fr-FR"/>
        </w:rPr>
        <w:t xml:space="preserve">22 juillet, il fut contraint de rester </w:t>
      </w:r>
      <w:r w:rsidR="00953B6F" w:rsidRPr="007F3E67">
        <w:rPr>
          <w:lang w:val="fr-FR"/>
        </w:rPr>
        <w:t xml:space="preserve">debout </w:t>
      </w:r>
      <w:r w:rsidRPr="007F3E67">
        <w:rPr>
          <w:lang w:val="fr-FR"/>
        </w:rPr>
        <w:t>avec d</w:t>
      </w:r>
      <w:r w:rsidR="007F3E67" w:rsidRPr="007F3E67">
        <w:rPr>
          <w:lang w:val="fr-FR"/>
        </w:rPr>
        <w:t>’</w:t>
      </w:r>
      <w:r w:rsidRPr="007F3E67">
        <w:rPr>
          <w:lang w:val="fr-FR"/>
        </w:rPr>
        <w:t>autres personnes</w:t>
      </w:r>
      <w:r w:rsidR="00953B6F" w:rsidRPr="007F3E67">
        <w:rPr>
          <w:lang w:val="fr-FR"/>
        </w:rPr>
        <w:t>,</w:t>
      </w:r>
      <w:r w:rsidR="00D75BC2" w:rsidRPr="007F3E67">
        <w:rPr>
          <w:lang w:val="fr-FR"/>
        </w:rPr>
        <w:t xml:space="preserve"> </w:t>
      </w:r>
      <w:r w:rsidRPr="007F3E67">
        <w:rPr>
          <w:lang w:val="fr-FR"/>
        </w:rPr>
        <w:t>jambes écartées</w:t>
      </w:r>
      <w:r w:rsidR="00953B6F" w:rsidRPr="007F3E67">
        <w:rPr>
          <w:lang w:val="fr-FR"/>
        </w:rPr>
        <w:t xml:space="preserve"> et</w:t>
      </w:r>
      <w:r w:rsidRPr="007F3E67">
        <w:rPr>
          <w:lang w:val="fr-FR"/>
        </w:rPr>
        <w:t xml:space="preserve"> face </w:t>
      </w:r>
      <w:r w:rsidR="00953B6F" w:rsidRPr="007F3E67">
        <w:rPr>
          <w:lang w:val="fr-FR"/>
        </w:rPr>
        <w:t>au</w:t>
      </w:r>
      <w:r w:rsidRPr="007F3E67">
        <w:rPr>
          <w:lang w:val="fr-FR"/>
        </w:rPr>
        <w:t xml:space="preserve"> mur</w:t>
      </w:r>
      <w:r w:rsidR="00D75BC2" w:rsidRPr="007F3E67">
        <w:rPr>
          <w:lang w:val="fr-FR"/>
        </w:rPr>
        <w:t>, pendant vingt minutes</w:t>
      </w:r>
      <w:r w:rsidRPr="007F3E67">
        <w:rPr>
          <w:lang w:val="fr-FR"/>
        </w:rPr>
        <w:t xml:space="preserve">. Placé dans une cellule puis dans une autre, il dut </w:t>
      </w:r>
      <w:r w:rsidR="00717385" w:rsidRPr="007F3E67">
        <w:rPr>
          <w:lang w:val="fr-FR"/>
        </w:rPr>
        <w:t xml:space="preserve">se </w:t>
      </w:r>
      <w:r w:rsidRPr="007F3E67">
        <w:rPr>
          <w:lang w:val="fr-FR"/>
        </w:rPr>
        <w:t xml:space="preserve">tenir plusieurs fois </w:t>
      </w:r>
      <w:r w:rsidR="00953B6F" w:rsidRPr="007F3E67">
        <w:rPr>
          <w:lang w:val="fr-FR"/>
        </w:rPr>
        <w:t xml:space="preserve">dans </w:t>
      </w:r>
      <w:r w:rsidRPr="007F3E67">
        <w:rPr>
          <w:lang w:val="fr-FR"/>
        </w:rPr>
        <w:t>cette position, pendant que des agents qui se trouvaient à l</w:t>
      </w:r>
      <w:r w:rsidR="007F3E67" w:rsidRPr="007F3E67">
        <w:rPr>
          <w:lang w:val="fr-FR"/>
        </w:rPr>
        <w:t>’</w:t>
      </w:r>
      <w:r w:rsidRPr="007F3E67">
        <w:rPr>
          <w:lang w:val="fr-FR"/>
        </w:rPr>
        <w:t>intérieur et à l</w:t>
      </w:r>
      <w:r w:rsidR="007F3E67" w:rsidRPr="007F3E67">
        <w:rPr>
          <w:lang w:val="fr-FR"/>
        </w:rPr>
        <w:t>’</w:t>
      </w:r>
      <w:r w:rsidRPr="007F3E67">
        <w:rPr>
          <w:lang w:val="fr-FR"/>
        </w:rPr>
        <w:t>extérieur de la cellule le couvraient d</w:t>
      </w:r>
      <w:r w:rsidR="007F3E67" w:rsidRPr="007F3E67">
        <w:rPr>
          <w:lang w:val="fr-FR"/>
        </w:rPr>
        <w:t>’</w:t>
      </w:r>
      <w:r w:rsidRPr="007F3E67">
        <w:rPr>
          <w:lang w:val="fr-FR"/>
        </w:rPr>
        <w:t>injures. Lorsqu</w:t>
      </w:r>
      <w:r w:rsidR="007F3E67" w:rsidRPr="007F3E67">
        <w:rPr>
          <w:lang w:val="fr-FR"/>
        </w:rPr>
        <w:t>’</w:t>
      </w:r>
      <w:r w:rsidRPr="007F3E67">
        <w:rPr>
          <w:lang w:val="fr-FR"/>
        </w:rPr>
        <w:t xml:space="preserve">il se rendit aux toilettes, </w:t>
      </w:r>
      <w:r w:rsidR="00953B6F" w:rsidRPr="007F3E67">
        <w:rPr>
          <w:lang w:val="fr-FR"/>
        </w:rPr>
        <w:t xml:space="preserve">il fut </w:t>
      </w:r>
      <w:r w:rsidR="00385F40" w:rsidRPr="007F3E67">
        <w:rPr>
          <w:lang w:val="fr-FR"/>
        </w:rPr>
        <w:t>contraint</w:t>
      </w:r>
      <w:r w:rsidR="00717385" w:rsidRPr="007F3E67">
        <w:rPr>
          <w:lang w:val="fr-FR"/>
        </w:rPr>
        <w:t xml:space="preserve"> </w:t>
      </w:r>
      <w:r w:rsidR="00385F40" w:rsidRPr="007F3E67">
        <w:rPr>
          <w:lang w:val="fr-FR"/>
        </w:rPr>
        <w:t>de</w:t>
      </w:r>
      <w:r w:rsidRPr="007F3E67">
        <w:rPr>
          <w:lang w:val="fr-FR"/>
        </w:rPr>
        <w:t xml:space="preserve"> marcher tête baissée, insulté</w:t>
      </w:r>
      <w:r w:rsidR="00953B6F" w:rsidRPr="007F3E67">
        <w:rPr>
          <w:lang w:val="fr-FR"/>
        </w:rPr>
        <w:t xml:space="preserve">, </w:t>
      </w:r>
      <w:r w:rsidRPr="007F3E67">
        <w:rPr>
          <w:lang w:val="fr-FR"/>
        </w:rPr>
        <w:t>frappé puis surveillé à l</w:t>
      </w:r>
      <w:r w:rsidR="007F3E67" w:rsidRPr="007F3E67">
        <w:rPr>
          <w:lang w:val="fr-FR"/>
        </w:rPr>
        <w:t>’</w:t>
      </w:r>
      <w:r w:rsidRPr="007F3E67">
        <w:rPr>
          <w:lang w:val="fr-FR"/>
        </w:rPr>
        <w:t xml:space="preserve">intérieur des toilettes. </w:t>
      </w:r>
      <w:r w:rsidR="00F50DAF" w:rsidRPr="007F3E67">
        <w:rPr>
          <w:lang w:val="fr-FR"/>
        </w:rPr>
        <w:t>À</w:t>
      </w:r>
      <w:r w:rsidRPr="007F3E67">
        <w:rPr>
          <w:lang w:val="fr-FR"/>
        </w:rPr>
        <w:t xml:space="preserve"> l</w:t>
      </w:r>
      <w:r w:rsidR="007F3E67" w:rsidRPr="007F3E67">
        <w:rPr>
          <w:lang w:val="fr-FR"/>
        </w:rPr>
        <w:t>’</w:t>
      </w:r>
      <w:r w:rsidRPr="007F3E67">
        <w:rPr>
          <w:lang w:val="fr-FR"/>
        </w:rPr>
        <w:t>occasion de son identification, il dut signer des documents rédigés uniquement en italien et demanda en vain à pouvoir prendre contact avec un avocat.</w:t>
      </w:r>
    </w:p>
    <w:p w:rsidR="00E235F1" w:rsidRPr="007F3E67" w:rsidRDefault="00E235F1" w:rsidP="007F3E67">
      <w:pPr>
        <w:pStyle w:val="ECHRPara"/>
        <w:rPr>
          <w:lang w:val="fr-FR"/>
        </w:rPr>
      </w:pPr>
      <w:r w:rsidRPr="007F3E67">
        <w:rPr>
          <w:lang w:val="fr-FR"/>
        </w:rPr>
        <w:fldChar w:fldCharType="begin"/>
      </w:r>
      <w:r w:rsidRPr="007F3E67">
        <w:rPr>
          <w:lang w:val="fr-FR"/>
        </w:rPr>
        <w:instrText xml:space="preserve"> SEQ level0 \*arabic </w:instrText>
      </w:r>
      <w:r w:rsidRPr="007F3E67">
        <w:rPr>
          <w:lang w:val="fr-FR"/>
        </w:rPr>
        <w:fldChar w:fldCharType="separate"/>
      </w:r>
      <w:r w:rsidR="007F3E67" w:rsidRPr="007F3E67">
        <w:rPr>
          <w:noProof/>
          <w:lang w:val="fr-FR"/>
        </w:rPr>
        <w:t>26</w:t>
      </w:r>
      <w:r w:rsidRPr="007F3E67">
        <w:rPr>
          <w:lang w:val="fr-FR"/>
        </w:rPr>
        <w:fldChar w:fldCharType="end"/>
      </w:r>
      <w:r w:rsidRPr="007F3E67">
        <w:rPr>
          <w:lang w:val="fr-FR"/>
        </w:rPr>
        <w:t>.  M. Nathrath fut arrêté à l</w:t>
      </w:r>
      <w:r w:rsidR="007F3E67" w:rsidRPr="007F3E67">
        <w:rPr>
          <w:lang w:val="fr-FR"/>
        </w:rPr>
        <w:t>’</w:t>
      </w:r>
      <w:r w:rsidRPr="007F3E67">
        <w:rPr>
          <w:lang w:val="fr-FR"/>
        </w:rPr>
        <w:t xml:space="preserve">école Diaz-Pertini et conduit directement à la caserne de Bolzaneto le 22 juillet. </w:t>
      </w:r>
      <w:r w:rsidR="0053342E" w:rsidRPr="007F3E67">
        <w:rPr>
          <w:lang w:val="fr-FR"/>
        </w:rPr>
        <w:t>À</w:t>
      </w:r>
      <w:r w:rsidRPr="007F3E67">
        <w:rPr>
          <w:lang w:val="fr-FR"/>
        </w:rPr>
        <w:t xml:space="preserve"> son arrivée, il fut frappé et obligé de rester face à un mur, les jambes écartées et les bras en l</w:t>
      </w:r>
      <w:r w:rsidR="007F3E67" w:rsidRPr="007F3E67">
        <w:rPr>
          <w:lang w:val="fr-FR"/>
        </w:rPr>
        <w:t>’</w:t>
      </w:r>
      <w:r w:rsidRPr="007F3E67">
        <w:rPr>
          <w:lang w:val="fr-FR"/>
        </w:rPr>
        <w:t xml:space="preserve">air. Il dut reprendre </w:t>
      </w:r>
      <w:r w:rsidRPr="007F3E67">
        <w:rPr>
          <w:lang w:val="fr-FR"/>
        </w:rPr>
        <w:lastRenderedPageBreak/>
        <w:t>ensuite cette position plusieurs fois à l</w:t>
      </w:r>
      <w:r w:rsidR="007F3E67" w:rsidRPr="007F3E67">
        <w:rPr>
          <w:lang w:val="fr-FR"/>
        </w:rPr>
        <w:t>’</w:t>
      </w:r>
      <w:r w:rsidRPr="007F3E67">
        <w:rPr>
          <w:lang w:val="fr-FR"/>
        </w:rPr>
        <w:t xml:space="preserve">intérieur de la caserne, où il fut à nouveau frappé et insulté dans </w:t>
      </w:r>
      <w:r w:rsidR="00953B6F" w:rsidRPr="007F3E67">
        <w:rPr>
          <w:lang w:val="fr-FR"/>
        </w:rPr>
        <w:t xml:space="preserve">une </w:t>
      </w:r>
      <w:r w:rsidRPr="007F3E67">
        <w:rPr>
          <w:lang w:val="fr-FR"/>
        </w:rPr>
        <w:t>cellule et injurié lorsqu</w:t>
      </w:r>
      <w:r w:rsidR="007F3E67" w:rsidRPr="007F3E67">
        <w:rPr>
          <w:lang w:val="fr-FR"/>
        </w:rPr>
        <w:t>’</w:t>
      </w:r>
      <w:r w:rsidRPr="007F3E67">
        <w:rPr>
          <w:lang w:val="fr-FR"/>
        </w:rPr>
        <w:t xml:space="preserve">il se rendit aux toilettes en gardant la tête baissée sur ordre des policiers. Il fut surveillé jusque dans les toilettes. </w:t>
      </w:r>
      <w:r w:rsidR="0053342E" w:rsidRPr="007F3E67">
        <w:rPr>
          <w:lang w:val="fr-FR"/>
        </w:rPr>
        <w:t>À</w:t>
      </w:r>
      <w:r w:rsidRPr="007F3E67">
        <w:rPr>
          <w:lang w:val="fr-FR"/>
        </w:rPr>
        <w:t xml:space="preserve"> l</w:t>
      </w:r>
      <w:r w:rsidR="007F3E67" w:rsidRPr="007F3E67">
        <w:rPr>
          <w:lang w:val="fr-FR"/>
        </w:rPr>
        <w:t>’</w:t>
      </w:r>
      <w:r w:rsidRPr="007F3E67">
        <w:rPr>
          <w:lang w:val="fr-FR"/>
        </w:rPr>
        <w:t xml:space="preserve">infirmerie, il fut obligé de se déshabiller et de faire des pompes. </w:t>
      </w:r>
      <w:r w:rsidR="0053342E" w:rsidRPr="007F3E67">
        <w:rPr>
          <w:lang w:val="fr-FR"/>
        </w:rPr>
        <w:t>À</w:t>
      </w:r>
      <w:r w:rsidRPr="007F3E67">
        <w:rPr>
          <w:lang w:val="fr-FR"/>
        </w:rPr>
        <w:t xml:space="preserve"> l</w:t>
      </w:r>
      <w:r w:rsidR="007F3E67" w:rsidRPr="007F3E67">
        <w:rPr>
          <w:lang w:val="fr-FR"/>
        </w:rPr>
        <w:t>’</w:t>
      </w:r>
      <w:r w:rsidRPr="007F3E67">
        <w:rPr>
          <w:lang w:val="fr-FR"/>
        </w:rPr>
        <w:t>occasion de l</w:t>
      </w:r>
      <w:r w:rsidR="00717385" w:rsidRPr="007F3E67">
        <w:rPr>
          <w:lang w:val="fr-FR"/>
        </w:rPr>
        <w:t>a procédure d</w:t>
      </w:r>
      <w:r w:rsidR="007F3E67" w:rsidRPr="007F3E67">
        <w:rPr>
          <w:lang w:val="fr-FR"/>
        </w:rPr>
        <w:t>’</w:t>
      </w:r>
      <w:r w:rsidRPr="007F3E67">
        <w:rPr>
          <w:lang w:val="fr-FR"/>
        </w:rPr>
        <w:t xml:space="preserve">identification, il dut signer un document en partie </w:t>
      </w:r>
      <w:r w:rsidR="00F4323E" w:rsidRPr="007F3E67">
        <w:rPr>
          <w:lang w:val="fr-FR"/>
        </w:rPr>
        <w:t>pré-rempli</w:t>
      </w:r>
      <w:r w:rsidRPr="007F3E67">
        <w:rPr>
          <w:lang w:val="fr-FR"/>
        </w:rPr>
        <w:t xml:space="preserve"> et rédigé uniquement en italien. Il ne fut autorisé à prendre contact ni avec sa famille ni avec les autorités diplomatiques de son pays. Il fut lui aussi marqué d</w:t>
      </w:r>
      <w:r w:rsidR="007F3E67" w:rsidRPr="007F3E67">
        <w:rPr>
          <w:lang w:val="fr-FR"/>
        </w:rPr>
        <w:t>’</w:t>
      </w:r>
      <w:r w:rsidRPr="007F3E67">
        <w:rPr>
          <w:lang w:val="fr-FR"/>
        </w:rPr>
        <w:t>une croix rouge sur le visage. Le 23 juillet au matin, il fut menotté à une autre personne et transféré à la prison de Pavie. Il fut détenu pendant trois semaines, d</w:t>
      </w:r>
      <w:r w:rsidR="007F3E67" w:rsidRPr="007F3E67">
        <w:rPr>
          <w:lang w:val="fr-FR"/>
        </w:rPr>
        <w:t>’</w:t>
      </w:r>
      <w:r w:rsidRPr="007F3E67">
        <w:rPr>
          <w:lang w:val="fr-FR"/>
        </w:rPr>
        <w:t>abord à Pavie</w:t>
      </w:r>
      <w:r w:rsidR="00385F40" w:rsidRPr="007F3E67">
        <w:rPr>
          <w:lang w:val="fr-FR"/>
        </w:rPr>
        <w:t>,</w:t>
      </w:r>
      <w:r w:rsidRPr="007F3E67">
        <w:rPr>
          <w:lang w:val="fr-FR"/>
        </w:rPr>
        <w:t xml:space="preserve"> puis à Gênes.</w:t>
      </w:r>
    </w:p>
    <w:p w:rsidR="00E235F1" w:rsidRPr="007F3E67" w:rsidRDefault="00E235F1" w:rsidP="007F3E67">
      <w:pPr>
        <w:pStyle w:val="ECHRPara"/>
        <w:rPr>
          <w:lang w:val="fr-FR"/>
        </w:rPr>
      </w:pPr>
      <w:r w:rsidRPr="007F3E67">
        <w:rPr>
          <w:lang w:val="fr-FR"/>
        </w:rPr>
        <w:fldChar w:fldCharType="begin"/>
      </w:r>
      <w:r w:rsidRPr="007F3E67">
        <w:rPr>
          <w:lang w:val="fr-FR"/>
        </w:rPr>
        <w:instrText xml:space="preserve"> SEQ level0 \*arabic </w:instrText>
      </w:r>
      <w:r w:rsidRPr="007F3E67">
        <w:rPr>
          <w:lang w:val="fr-FR"/>
        </w:rPr>
        <w:fldChar w:fldCharType="separate"/>
      </w:r>
      <w:r w:rsidR="007F3E67" w:rsidRPr="007F3E67">
        <w:rPr>
          <w:noProof/>
          <w:lang w:val="fr-FR"/>
        </w:rPr>
        <w:t>27</w:t>
      </w:r>
      <w:r w:rsidRPr="007F3E67">
        <w:rPr>
          <w:lang w:val="fr-FR"/>
        </w:rPr>
        <w:fldChar w:fldCharType="end"/>
      </w:r>
      <w:r w:rsidRPr="007F3E67">
        <w:rPr>
          <w:lang w:val="fr-FR"/>
        </w:rPr>
        <w:t>.  M</w:t>
      </w:r>
      <w:r w:rsidRPr="007F3E67">
        <w:rPr>
          <w:rFonts w:ascii="Times New (W1)" w:hAnsi="Times New (W1)"/>
          <w:vertAlign w:val="superscript"/>
          <w:lang w:val="fr-FR"/>
        </w:rPr>
        <w:t>me</w:t>
      </w:r>
      <w:r w:rsidRPr="007F3E67">
        <w:rPr>
          <w:lang w:val="fr-FR"/>
        </w:rPr>
        <w:t xml:space="preserve"> Subri fut arrêtée le 20 juillet en fin d</w:t>
      </w:r>
      <w:r w:rsidR="007F3E67" w:rsidRPr="007F3E67">
        <w:rPr>
          <w:lang w:val="fr-FR"/>
        </w:rPr>
        <w:t>’</w:t>
      </w:r>
      <w:r w:rsidRPr="007F3E67">
        <w:rPr>
          <w:lang w:val="fr-FR"/>
        </w:rPr>
        <w:t>après-midi avec d</w:t>
      </w:r>
      <w:r w:rsidR="007F3E67" w:rsidRPr="007F3E67">
        <w:rPr>
          <w:lang w:val="fr-FR"/>
        </w:rPr>
        <w:t>’</w:t>
      </w:r>
      <w:r w:rsidRPr="007F3E67">
        <w:rPr>
          <w:lang w:val="fr-FR"/>
        </w:rPr>
        <w:t xml:space="preserve">autres personnes dans un bar </w:t>
      </w:r>
      <w:r w:rsidR="00953B6F" w:rsidRPr="007F3E67">
        <w:rPr>
          <w:lang w:val="fr-FR"/>
        </w:rPr>
        <w:t xml:space="preserve">situé </w:t>
      </w:r>
      <w:r w:rsidRPr="007F3E67">
        <w:rPr>
          <w:lang w:val="fr-FR"/>
        </w:rPr>
        <w:t xml:space="preserve">près de la place Alimonda </w:t>
      </w:r>
      <w:r w:rsidR="00717385" w:rsidRPr="007F3E67">
        <w:rPr>
          <w:lang w:val="fr-FR"/>
        </w:rPr>
        <w:t xml:space="preserve">et </w:t>
      </w:r>
      <w:r w:rsidRPr="007F3E67">
        <w:rPr>
          <w:lang w:val="fr-FR"/>
        </w:rPr>
        <w:t>emmenée à la caserne de Bolzaneto. Dès son arrivée à la caserne, elle fut frappée et insultée. Dans la cellule</w:t>
      </w:r>
      <w:r w:rsidR="00717385" w:rsidRPr="007F3E67">
        <w:rPr>
          <w:lang w:val="fr-FR"/>
        </w:rPr>
        <w:t xml:space="preserve"> où elle avait été placée</w:t>
      </w:r>
      <w:r w:rsidRPr="007F3E67">
        <w:rPr>
          <w:lang w:val="fr-FR"/>
        </w:rPr>
        <w:t xml:space="preserve">, elle dut rester </w:t>
      </w:r>
      <w:r w:rsidR="00385F40" w:rsidRPr="007F3E67">
        <w:rPr>
          <w:lang w:val="fr-FR"/>
        </w:rPr>
        <w:t>à plusieurs reprises</w:t>
      </w:r>
      <w:r w:rsidRPr="007F3E67">
        <w:rPr>
          <w:lang w:val="fr-FR"/>
        </w:rPr>
        <w:t xml:space="preserve"> jambes écartées, bras en l</w:t>
      </w:r>
      <w:r w:rsidR="007F3E67" w:rsidRPr="007F3E67">
        <w:rPr>
          <w:lang w:val="fr-FR"/>
        </w:rPr>
        <w:t>’</w:t>
      </w:r>
      <w:r w:rsidRPr="007F3E67">
        <w:rPr>
          <w:lang w:val="fr-FR"/>
        </w:rPr>
        <w:t>air et face contre le mur. Elle fut contrainte de marcher tête baissée. Elle fut également menacée de viol. Elle vomit deux fois mais aucun médecin ne se préoccupa de son état de santé</w:t>
      </w:r>
      <w:r w:rsidR="00953B6F" w:rsidRPr="007F3E67">
        <w:rPr>
          <w:lang w:val="fr-FR"/>
        </w:rPr>
        <w:t xml:space="preserve"> et</w:t>
      </w:r>
      <w:r w:rsidRPr="007F3E67">
        <w:rPr>
          <w:lang w:val="fr-FR"/>
        </w:rPr>
        <w:t xml:space="preserve"> personne ne lui donna les protections hygiéniques dont elle avait besoin. Lors de la visite médicale, on l</w:t>
      </w:r>
      <w:r w:rsidR="007F3E67" w:rsidRPr="007F3E67">
        <w:rPr>
          <w:lang w:val="fr-FR"/>
        </w:rPr>
        <w:t>’</w:t>
      </w:r>
      <w:r w:rsidRPr="007F3E67">
        <w:rPr>
          <w:lang w:val="fr-FR"/>
        </w:rPr>
        <w:t>obligea à se déshabiller et à faire des pompes contre un miroir. Elle fut obligée de signer des documents rédigés en italien.</w:t>
      </w:r>
    </w:p>
    <w:p w:rsidR="00E235F1" w:rsidRPr="007F3E67" w:rsidRDefault="00E235F1" w:rsidP="007F3E67">
      <w:pPr>
        <w:pStyle w:val="ECHRPara"/>
        <w:rPr>
          <w:lang w:val="fr-FR"/>
        </w:rPr>
      </w:pPr>
      <w:r w:rsidRPr="007F3E67">
        <w:rPr>
          <w:lang w:val="fr-FR"/>
        </w:rPr>
        <w:fldChar w:fldCharType="begin"/>
      </w:r>
      <w:r w:rsidRPr="007F3E67">
        <w:rPr>
          <w:lang w:val="fr-FR"/>
        </w:rPr>
        <w:instrText xml:space="preserve"> SEQ level0 \*arabic </w:instrText>
      </w:r>
      <w:r w:rsidRPr="007F3E67">
        <w:rPr>
          <w:lang w:val="fr-FR"/>
        </w:rPr>
        <w:fldChar w:fldCharType="separate"/>
      </w:r>
      <w:r w:rsidR="007F3E67" w:rsidRPr="007F3E67">
        <w:rPr>
          <w:noProof/>
          <w:lang w:val="fr-FR"/>
        </w:rPr>
        <w:t>28</w:t>
      </w:r>
      <w:r w:rsidRPr="007F3E67">
        <w:rPr>
          <w:lang w:val="fr-FR"/>
        </w:rPr>
        <w:fldChar w:fldCharType="end"/>
      </w:r>
      <w:r w:rsidRPr="007F3E67">
        <w:rPr>
          <w:lang w:val="fr-FR"/>
        </w:rPr>
        <w:t>.  M</w:t>
      </w:r>
      <w:r w:rsidRPr="007F3E67">
        <w:rPr>
          <w:rFonts w:ascii="Times New (W1)" w:hAnsi="Times New (W1)"/>
          <w:vertAlign w:val="superscript"/>
          <w:lang w:val="fr-FR"/>
        </w:rPr>
        <w:t>me</w:t>
      </w:r>
      <w:r w:rsidRPr="007F3E67">
        <w:rPr>
          <w:lang w:val="fr-FR"/>
        </w:rPr>
        <w:t> Treiber fut arrêtée à l</w:t>
      </w:r>
      <w:r w:rsidR="007F3E67" w:rsidRPr="007F3E67">
        <w:rPr>
          <w:lang w:val="fr-FR"/>
        </w:rPr>
        <w:t>’</w:t>
      </w:r>
      <w:r w:rsidRPr="007F3E67">
        <w:rPr>
          <w:lang w:val="fr-FR"/>
        </w:rPr>
        <w:t xml:space="preserve">école Diaz-Pertini le 21 juillet et emmenée à la caserne de Bolzaneto. Elle fut </w:t>
      </w:r>
      <w:r w:rsidR="00717385" w:rsidRPr="007F3E67">
        <w:rPr>
          <w:lang w:val="fr-FR"/>
        </w:rPr>
        <w:t>d</w:t>
      </w:r>
      <w:r w:rsidR="007F3E67" w:rsidRPr="007F3E67">
        <w:rPr>
          <w:lang w:val="fr-FR"/>
        </w:rPr>
        <w:t>’</w:t>
      </w:r>
      <w:r w:rsidR="00717385" w:rsidRPr="007F3E67">
        <w:rPr>
          <w:lang w:val="fr-FR"/>
        </w:rPr>
        <w:t xml:space="preserve">abord </w:t>
      </w:r>
      <w:r w:rsidRPr="007F3E67">
        <w:rPr>
          <w:lang w:val="fr-FR"/>
        </w:rPr>
        <w:t xml:space="preserve">placée contre un mur dans la cour, où elle vit deux agents frapper </w:t>
      </w:r>
      <w:r w:rsidR="00953B6F" w:rsidRPr="007F3E67">
        <w:rPr>
          <w:lang w:val="fr-FR"/>
        </w:rPr>
        <w:t>l</w:t>
      </w:r>
      <w:r w:rsidR="007F3E67" w:rsidRPr="007F3E67">
        <w:rPr>
          <w:lang w:val="fr-FR"/>
        </w:rPr>
        <w:t>’</w:t>
      </w:r>
      <w:r w:rsidRPr="007F3E67">
        <w:rPr>
          <w:lang w:val="fr-FR"/>
        </w:rPr>
        <w:t>une des personnes arrêtées et l</w:t>
      </w:r>
      <w:r w:rsidR="007F3E67" w:rsidRPr="007F3E67">
        <w:rPr>
          <w:lang w:val="fr-FR"/>
        </w:rPr>
        <w:t>’</w:t>
      </w:r>
      <w:r w:rsidRPr="007F3E67">
        <w:rPr>
          <w:lang w:val="fr-FR"/>
        </w:rPr>
        <w:t xml:space="preserve">asperger de gaz irritant ; elle fut </w:t>
      </w:r>
      <w:r w:rsidR="00717385" w:rsidRPr="007F3E67">
        <w:rPr>
          <w:lang w:val="fr-FR"/>
        </w:rPr>
        <w:t xml:space="preserve">ensuite </w:t>
      </w:r>
      <w:r w:rsidRPr="007F3E67">
        <w:rPr>
          <w:lang w:val="fr-FR"/>
        </w:rPr>
        <w:t>placée dans une cellule</w:t>
      </w:r>
      <w:r w:rsidR="00385F40" w:rsidRPr="007F3E67">
        <w:rPr>
          <w:lang w:val="fr-FR"/>
        </w:rPr>
        <w:t xml:space="preserve"> et contrainte de rester debout, </w:t>
      </w:r>
      <w:r w:rsidRPr="007F3E67">
        <w:rPr>
          <w:lang w:val="fr-FR"/>
        </w:rPr>
        <w:t xml:space="preserve">les jambes écartées. Elle dut garder cette position tout au long de la nuit, sauf pendant </w:t>
      </w:r>
      <w:r w:rsidR="00717385" w:rsidRPr="007F3E67">
        <w:rPr>
          <w:lang w:val="fr-FR"/>
        </w:rPr>
        <w:t xml:space="preserve">quelques périodes </w:t>
      </w:r>
      <w:r w:rsidRPr="007F3E67">
        <w:rPr>
          <w:lang w:val="fr-FR"/>
        </w:rPr>
        <w:t>où elle fut autorisée à se mettre à genoux ; elle put s</w:t>
      </w:r>
      <w:r w:rsidR="007F3E67" w:rsidRPr="007F3E67">
        <w:rPr>
          <w:lang w:val="fr-FR"/>
        </w:rPr>
        <w:t>’</w:t>
      </w:r>
      <w:r w:rsidRPr="007F3E67">
        <w:rPr>
          <w:lang w:val="fr-FR"/>
        </w:rPr>
        <w:t>allonger par terre</w:t>
      </w:r>
      <w:r w:rsidR="00717385" w:rsidRPr="007F3E67">
        <w:rPr>
          <w:lang w:val="fr-FR"/>
        </w:rPr>
        <w:t xml:space="preserve"> qu</w:t>
      </w:r>
      <w:r w:rsidR="007F3E67" w:rsidRPr="007F3E67">
        <w:rPr>
          <w:lang w:val="fr-FR"/>
        </w:rPr>
        <w:t>’</w:t>
      </w:r>
      <w:r w:rsidR="00717385" w:rsidRPr="007F3E67">
        <w:rPr>
          <w:lang w:val="fr-FR"/>
        </w:rPr>
        <w:t>à l</w:t>
      </w:r>
      <w:r w:rsidR="007F3E67" w:rsidRPr="007F3E67">
        <w:rPr>
          <w:lang w:val="fr-FR"/>
        </w:rPr>
        <w:t>’</w:t>
      </w:r>
      <w:r w:rsidR="00717385" w:rsidRPr="007F3E67">
        <w:rPr>
          <w:lang w:val="fr-FR"/>
        </w:rPr>
        <w:t>aube</w:t>
      </w:r>
      <w:r w:rsidRPr="007F3E67">
        <w:rPr>
          <w:lang w:val="fr-FR"/>
        </w:rPr>
        <w:t xml:space="preserve">. Elle entendit crier « Heil Hitler », elle vit les souffrances des autres occupants des cellules, qui avaient le visage en sang ou qui </w:t>
      </w:r>
      <w:r w:rsidR="00717385" w:rsidRPr="007F3E67">
        <w:rPr>
          <w:lang w:val="fr-FR"/>
        </w:rPr>
        <w:t>s</w:t>
      </w:r>
      <w:r w:rsidR="007F3E67" w:rsidRPr="007F3E67">
        <w:rPr>
          <w:lang w:val="fr-FR"/>
        </w:rPr>
        <w:t>’</w:t>
      </w:r>
      <w:r w:rsidR="00717385" w:rsidRPr="007F3E67">
        <w:rPr>
          <w:lang w:val="fr-FR"/>
        </w:rPr>
        <w:t xml:space="preserve">étaient </w:t>
      </w:r>
      <w:r w:rsidRPr="007F3E67">
        <w:rPr>
          <w:lang w:val="fr-FR"/>
        </w:rPr>
        <w:t xml:space="preserve">uriné </w:t>
      </w:r>
      <w:r w:rsidR="00717385" w:rsidRPr="007F3E67">
        <w:rPr>
          <w:lang w:val="fr-FR"/>
        </w:rPr>
        <w:t>dessus</w:t>
      </w:r>
      <w:r w:rsidRPr="007F3E67">
        <w:rPr>
          <w:lang w:val="fr-FR"/>
        </w:rPr>
        <w:t xml:space="preserve">. </w:t>
      </w:r>
      <w:r w:rsidR="00D45736" w:rsidRPr="007F3E67">
        <w:rPr>
          <w:lang w:val="fr-FR"/>
        </w:rPr>
        <w:t>À</w:t>
      </w:r>
      <w:r w:rsidRPr="007F3E67">
        <w:rPr>
          <w:lang w:val="fr-FR"/>
        </w:rPr>
        <w:t xml:space="preserve"> son arrivée à la caserne, une agente lui avait retiré les médicaments qu</w:t>
      </w:r>
      <w:r w:rsidR="007F3E67" w:rsidRPr="007F3E67">
        <w:rPr>
          <w:lang w:val="fr-FR"/>
        </w:rPr>
        <w:t>’</w:t>
      </w:r>
      <w:r w:rsidRPr="007F3E67">
        <w:rPr>
          <w:lang w:val="fr-FR"/>
        </w:rPr>
        <w:t xml:space="preserve">elle </w:t>
      </w:r>
      <w:r w:rsidR="00ED25EB" w:rsidRPr="007F3E67">
        <w:rPr>
          <w:lang w:val="fr-FR"/>
        </w:rPr>
        <w:t>détenait et dont elle avait besoin</w:t>
      </w:r>
      <w:r w:rsidRPr="007F3E67">
        <w:rPr>
          <w:lang w:val="fr-FR"/>
        </w:rPr>
        <w:t xml:space="preserve"> à la suite d</w:t>
      </w:r>
      <w:r w:rsidR="007F3E67" w:rsidRPr="007F3E67">
        <w:rPr>
          <w:lang w:val="fr-FR"/>
        </w:rPr>
        <w:t>’</w:t>
      </w:r>
      <w:r w:rsidRPr="007F3E67">
        <w:rPr>
          <w:lang w:val="fr-FR"/>
        </w:rPr>
        <w:t xml:space="preserve">une récente opération aux reins. </w:t>
      </w:r>
      <w:r w:rsidR="00717385" w:rsidRPr="007F3E67">
        <w:rPr>
          <w:lang w:val="fr-FR"/>
        </w:rPr>
        <w:t>M</w:t>
      </w:r>
      <w:r w:rsidR="00717385" w:rsidRPr="007F3E67">
        <w:rPr>
          <w:vertAlign w:val="superscript"/>
          <w:lang w:val="fr-FR"/>
        </w:rPr>
        <w:t>me</w:t>
      </w:r>
      <w:r w:rsidR="00717385" w:rsidRPr="007F3E67">
        <w:rPr>
          <w:lang w:val="fr-FR"/>
        </w:rPr>
        <w:t xml:space="preserve"> Treiber</w:t>
      </w:r>
      <w:r w:rsidRPr="007F3E67">
        <w:rPr>
          <w:lang w:val="fr-FR"/>
        </w:rPr>
        <w:t xml:space="preserve"> fut elle aussi marquée d</w:t>
      </w:r>
      <w:r w:rsidR="007F3E67" w:rsidRPr="007F3E67">
        <w:rPr>
          <w:lang w:val="fr-FR"/>
        </w:rPr>
        <w:t>’</w:t>
      </w:r>
      <w:r w:rsidRPr="007F3E67">
        <w:rPr>
          <w:lang w:val="fr-FR"/>
        </w:rPr>
        <w:t xml:space="preserve">une croix rouge sur le visage. Lors </w:t>
      </w:r>
      <w:r w:rsidR="00717385" w:rsidRPr="007F3E67">
        <w:rPr>
          <w:lang w:val="fr-FR"/>
        </w:rPr>
        <w:t>de son passage</w:t>
      </w:r>
      <w:r w:rsidRPr="007F3E67">
        <w:rPr>
          <w:lang w:val="fr-FR"/>
        </w:rPr>
        <w:t xml:space="preserve"> dans les couloirs, elle fut contrainte de marcher </w:t>
      </w:r>
      <w:r w:rsidR="005D6173" w:rsidRPr="007F3E67">
        <w:rPr>
          <w:lang w:val="fr-FR"/>
        </w:rPr>
        <w:t xml:space="preserve">la </w:t>
      </w:r>
      <w:r w:rsidRPr="007F3E67">
        <w:rPr>
          <w:lang w:val="fr-FR"/>
        </w:rPr>
        <w:t xml:space="preserve">tête baissée et </w:t>
      </w:r>
      <w:r w:rsidR="005D6173" w:rsidRPr="007F3E67">
        <w:rPr>
          <w:lang w:val="fr-FR"/>
        </w:rPr>
        <w:t xml:space="preserve">les </w:t>
      </w:r>
      <w:r w:rsidRPr="007F3E67">
        <w:rPr>
          <w:lang w:val="fr-FR"/>
        </w:rPr>
        <w:t>mains derrière la nuque et entre des agents qui la frappaient et l</w:t>
      </w:r>
      <w:r w:rsidR="007F3E67" w:rsidRPr="007F3E67">
        <w:rPr>
          <w:lang w:val="fr-FR"/>
        </w:rPr>
        <w:t>’</w:t>
      </w:r>
      <w:r w:rsidRPr="007F3E67">
        <w:rPr>
          <w:lang w:val="fr-FR"/>
        </w:rPr>
        <w:t>insultaient. Le 22 juillet au matin, elle fut conduite dans une pièce où, en présence de plusieurs agents, elle dut signer des documents rédigés uniquement en italien. Ensuite, à l</w:t>
      </w:r>
      <w:r w:rsidR="007F3E67" w:rsidRPr="007F3E67">
        <w:rPr>
          <w:lang w:val="fr-FR"/>
        </w:rPr>
        <w:t>’</w:t>
      </w:r>
      <w:r w:rsidRPr="007F3E67">
        <w:rPr>
          <w:lang w:val="fr-FR"/>
        </w:rPr>
        <w:t>infirmerie, elle fut contrainte de se dévêtir, entourée d</w:t>
      </w:r>
      <w:r w:rsidR="007F3E67" w:rsidRPr="007F3E67">
        <w:rPr>
          <w:lang w:val="fr-FR"/>
        </w:rPr>
        <w:t>’</w:t>
      </w:r>
      <w:r w:rsidRPr="007F3E67">
        <w:rPr>
          <w:lang w:val="fr-FR"/>
        </w:rPr>
        <w:t xml:space="preserve">agentes qui lui arrachèrent </w:t>
      </w:r>
      <w:r w:rsidR="005D6173" w:rsidRPr="007F3E67">
        <w:rPr>
          <w:lang w:val="fr-FR"/>
        </w:rPr>
        <w:t>s</w:t>
      </w:r>
      <w:r w:rsidRPr="007F3E67">
        <w:rPr>
          <w:lang w:val="fr-FR"/>
        </w:rPr>
        <w:t xml:space="preserve">es vêtements et </w:t>
      </w:r>
      <w:r w:rsidR="005D6173" w:rsidRPr="007F3E67">
        <w:rPr>
          <w:szCs w:val="24"/>
          <w:lang w:val="fr-FR"/>
        </w:rPr>
        <w:t>déc</w:t>
      </w:r>
      <w:r w:rsidRPr="007F3E67">
        <w:rPr>
          <w:szCs w:val="24"/>
          <w:lang w:val="fr-FR"/>
        </w:rPr>
        <w:t>oupèrent la capuche de son gilet</w:t>
      </w:r>
      <w:r w:rsidR="005D6173" w:rsidRPr="007F3E67">
        <w:rPr>
          <w:szCs w:val="24"/>
          <w:lang w:val="fr-FR"/>
        </w:rPr>
        <w:t>.</w:t>
      </w:r>
      <w:r w:rsidRPr="007F3E67">
        <w:rPr>
          <w:lang w:val="fr-FR"/>
        </w:rPr>
        <w:t xml:space="preserve"> </w:t>
      </w:r>
      <w:r w:rsidR="005D6173" w:rsidRPr="007F3E67">
        <w:rPr>
          <w:lang w:val="fr-FR"/>
        </w:rPr>
        <w:t>E</w:t>
      </w:r>
      <w:r w:rsidRPr="007F3E67">
        <w:rPr>
          <w:lang w:val="fr-FR"/>
        </w:rPr>
        <w:t xml:space="preserve">lle dut </w:t>
      </w:r>
      <w:r w:rsidR="005D6173" w:rsidRPr="007F3E67">
        <w:rPr>
          <w:lang w:val="fr-FR"/>
        </w:rPr>
        <w:t xml:space="preserve">ensuite </w:t>
      </w:r>
      <w:r w:rsidRPr="007F3E67">
        <w:rPr>
          <w:lang w:val="fr-FR"/>
        </w:rPr>
        <w:t>faire des pompes</w:t>
      </w:r>
      <w:r w:rsidR="005D6173" w:rsidRPr="007F3E67">
        <w:rPr>
          <w:lang w:val="fr-FR"/>
        </w:rPr>
        <w:t xml:space="preserve"> et</w:t>
      </w:r>
      <w:r w:rsidRPr="007F3E67">
        <w:rPr>
          <w:lang w:val="fr-FR"/>
        </w:rPr>
        <w:t xml:space="preserve"> fut privée de ses lunettes. Elle ne put prendre contact ni avec sa famille</w:t>
      </w:r>
      <w:r w:rsidR="005D6173" w:rsidRPr="007F3E67">
        <w:rPr>
          <w:lang w:val="fr-FR"/>
        </w:rPr>
        <w:t>,</w:t>
      </w:r>
      <w:r w:rsidRPr="007F3E67">
        <w:rPr>
          <w:lang w:val="fr-FR"/>
        </w:rPr>
        <w:t xml:space="preserve"> ni avec un avocat</w:t>
      </w:r>
      <w:r w:rsidR="005D6173" w:rsidRPr="007F3E67">
        <w:rPr>
          <w:lang w:val="fr-FR"/>
        </w:rPr>
        <w:t>,</w:t>
      </w:r>
      <w:r w:rsidRPr="007F3E67">
        <w:rPr>
          <w:lang w:val="fr-FR"/>
        </w:rPr>
        <w:t xml:space="preserve"> ni avec les autorités diplomatiques de son pays. Menottée à une autre femme, elle fut finalement transférée à la prison de Voghera.</w:t>
      </w:r>
    </w:p>
    <w:p w:rsidR="00E235F1" w:rsidRPr="007F3E67" w:rsidRDefault="00E235F1" w:rsidP="007F3E67">
      <w:pPr>
        <w:pStyle w:val="ECHRPara"/>
        <w:rPr>
          <w:lang w:val="fr-FR"/>
        </w:rPr>
      </w:pPr>
      <w:r w:rsidRPr="007F3E67">
        <w:rPr>
          <w:lang w:val="fr-FR"/>
        </w:rPr>
        <w:lastRenderedPageBreak/>
        <w:fldChar w:fldCharType="begin"/>
      </w:r>
      <w:r w:rsidRPr="007F3E67">
        <w:rPr>
          <w:lang w:val="fr-FR"/>
        </w:rPr>
        <w:instrText xml:space="preserve"> SEQ level0 \*arabic </w:instrText>
      </w:r>
      <w:r w:rsidRPr="007F3E67">
        <w:rPr>
          <w:lang w:val="fr-FR"/>
        </w:rPr>
        <w:fldChar w:fldCharType="separate"/>
      </w:r>
      <w:r w:rsidR="007F3E67" w:rsidRPr="007F3E67">
        <w:rPr>
          <w:noProof/>
          <w:lang w:val="fr-FR"/>
        </w:rPr>
        <w:t>29</w:t>
      </w:r>
      <w:r w:rsidRPr="007F3E67">
        <w:rPr>
          <w:lang w:val="fr-FR"/>
        </w:rPr>
        <w:fldChar w:fldCharType="end"/>
      </w:r>
      <w:r w:rsidRPr="007F3E67">
        <w:rPr>
          <w:lang w:val="fr-FR"/>
        </w:rPr>
        <w:t>.  M</w:t>
      </w:r>
      <w:r w:rsidRPr="007F3E67">
        <w:rPr>
          <w:rFonts w:ascii="Times New (W1)" w:hAnsi="Times New (W1)"/>
          <w:vertAlign w:val="superscript"/>
          <w:lang w:val="fr-FR"/>
        </w:rPr>
        <w:t>me</w:t>
      </w:r>
      <w:r w:rsidRPr="007F3E67">
        <w:rPr>
          <w:lang w:val="fr-FR"/>
        </w:rPr>
        <w:t> Zeuner fut arrêtée à l</w:t>
      </w:r>
      <w:r w:rsidR="007F3E67" w:rsidRPr="007F3E67">
        <w:rPr>
          <w:lang w:val="fr-FR"/>
        </w:rPr>
        <w:t>’</w:t>
      </w:r>
      <w:r w:rsidRPr="007F3E67">
        <w:rPr>
          <w:lang w:val="fr-FR"/>
        </w:rPr>
        <w:t xml:space="preserve">école Diaz-Pertini. Emmenée à la caserne de Bolzaneto, elle fut </w:t>
      </w:r>
      <w:r w:rsidR="005D6173" w:rsidRPr="007F3E67">
        <w:rPr>
          <w:lang w:val="fr-FR"/>
        </w:rPr>
        <w:t>d</w:t>
      </w:r>
      <w:r w:rsidR="007F3E67" w:rsidRPr="007F3E67">
        <w:rPr>
          <w:lang w:val="fr-FR"/>
        </w:rPr>
        <w:t>’</w:t>
      </w:r>
      <w:r w:rsidR="005D6173" w:rsidRPr="007F3E67">
        <w:rPr>
          <w:lang w:val="fr-FR"/>
        </w:rPr>
        <w:t xml:space="preserve">abord </w:t>
      </w:r>
      <w:r w:rsidRPr="007F3E67">
        <w:rPr>
          <w:lang w:val="fr-FR"/>
        </w:rPr>
        <w:t xml:space="preserve">placée contre un mur dans la cour puis </w:t>
      </w:r>
      <w:r w:rsidR="005D6173" w:rsidRPr="007F3E67">
        <w:rPr>
          <w:lang w:val="fr-FR"/>
        </w:rPr>
        <w:t xml:space="preserve">emmenée </w:t>
      </w:r>
      <w:r w:rsidRPr="007F3E67">
        <w:rPr>
          <w:lang w:val="fr-FR"/>
        </w:rPr>
        <w:t>à l</w:t>
      </w:r>
      <w:r w:rsidR="007F3E67" w:rsidRPr="007F3E67">
        <w:rPr>
          <w:lang w:val="fr-FR"/>
        </w:rPr>
        <w:t>’</w:t>
      </w:r>
      <w:r w:rsidRPr="007F3E67">
        <w:rPr>
          <w:lang w:val="fr-FR"/>
        </w:rPr>
        <w:t xml:space="preserve">intérieur, dans une cellule, </w:t>
      </w:r>
      <w:r w:rsidR="005D6173" w:rsidRPr="007F3E67">
        <w:rPr>
          <w:lang w:val="fr-FR"/>
        </w:rPr>
        <w:t xml:space="preserve">où elle </w:t>
      </w:r>
      <w:r w:rsidR="00A8177F" w:rsidRPr="007F3E67">
        <w:rPr>
          <w:lang w:val="fr-FR"/>
        </w:rPr>
        <w:t>fut à nouveau obligée de se tenir les</w:t>
      </w:r>
      <w:r w:rsidRPr="007F3E67">
        <w:rPr>
          <w:lang w:val="fr-FR"/>
        </w:rPr>
        <w:t xml:space="preserve"> jambes écartées et </w:t>
      </w:r>
      <w:r w:rsidR="00A8177F" w:rsidRPr="007F3E67">
        <w:rPr>
          <w:lang w:val="fr-FR"/>
        </w:rPr>
        <w:t xml:space="preserve">les </w:t>
      </w:r>
      <w:r w:rsidRPr="007F3E67">
        <w:rPr>
          <w:lang w:val="fr-FR"/>
        </w:rPr>
        <w:t>bras en l</w:t>
      </w:r>
      <w:r w:rsidR="007F3E67" w:rsidRPr="007F3E67">
        <w:rPr>
          <w:lang w:val="fr-FR"/>
        </w:rPr>
        <w:t>’</w:t>
      </w:r>
      <w:r w:rsidRPr="007F3E67">
        <w:rPr>
          <w:lang w:val="fr-FR"/>
        </w:rPr>
        <w:t xml:space="preserve">air. Elle fut menacée, reçut des coups et fut obligée </w:t>
      </w:r>
      <w:r w:rsidR="00A8177F" w:rsidRPr="007F3E67">
        <w:rPr>
          <w:lang w:val="fr-FR"/>
        </w:rPr>
        <w:t>de laisser</w:t>
      </w:r>
      <w:r w:rsidRPr="007F3E67">
        <w:rPr>
          <w:lang w:val="fr-FR"/>
        </w:rPr>
        <w:t xml:space="preserve"> la porte </w:t>
      </w:r>
      <w:r w:rsidR="00A8177F" w:rsidRPr="007F3E67">
        <w:rPr>
          <w:lang w:val="fr-FR"/>
        </w:rPr>
        <w:t xml:space="preserve">des toilettes </w:t>
      </w:r>
      <w:r w:rsidRPr="007F3E67">
        <w:rPr>
          <w:lang w:val="fr-FR"/>
        </w:rPr>
        <w:t>ouverte</w:t>
      </w:r>
      <w:r w:rsidR="00A8177F" w:rsidRPr="007F3E67">
        <w:rPr>
          <w:lang w:val="fr-FR"/>
        </w:rPr>
        <w:t xml:space="preserve"> lorsqu</w:t>
      </w:r>
      <w:r w:rsidR="007F3E67" w:rsidRPr="007F3E67">
        <w:rPr>
          <w:lang w:val="fr-FR"/>
        </w:rPr>
        <w:t>’</w:t>
      </w:r>
      <w:r w:rsidR="00A8177F" w:rsidRPr="007F3E67">
        <w:rPr>
          <w:lang w:val="fr-FR"/>
        </w:rPr>
        <w:t>elle les utilisait</w:t>
      </w:r>
      <w:r w:rsidRPr="007F3E67">
        <w:rPr>
          <w:lang w:val="fr-FR"/>
        </w:rPr>
        <w:t xml:space="preserve">. </w:t>
      </w:r>
      <w:r w:rsidR="00F97EB1" w:rsidRPr="007F3E67">
        <w:rPr>
          <w:lang w:val="fr-FR"/>
        </w:rPr>
        <w:t>À</w:t>
      </w:r>
      <w:r w:rsidRPr="007F3E67">
        <w:rPr>
          <w:lang w:val="fr-FR"/>
        </w:rPr>
        <w:t xml:space="preserve"> l</w:t>
      </w:r>
      <w:r w:rsidR="007F3E67" w:rsidRPr="007F3E67">
        <w:rPr>
          <w:lang w:val="fr-FR"/>
        </w:rPr>
        <w:t>’</w:t>
      </w:r>
      <w:r w:rsidRPr="007F3E67">
        <w:rPr>
          <w:lang w:val="fr-FR"/>
        </w:rPr>
        <w:t>infirmerie, elle fut contrainte de se dévêtir</w:t>
      </w:r>
      <w:r w:rsidR="00A8177F" w:rsidRPr="007F3E67">
        <w:rPr>
          <w:lang w:val="fr-FR"/>
        </w:rPr>
        <w:t>,</w:t>
      </w:r>
      <w:r w:rsidRPr="007F3E67">
        <w:rPr>
          <w:lang w:val="fr-FR"/>
        </w:rPr>
        <w:t xml:space="preserve"> </w:t>
      </w:r>
      <w:r w:rsidR="00A8177F" w:rsidRPr="007F3E67">
        <w:rPr>
          <w:lang w:val="fr-FR"/>
        </w:rPr>
        <w:t xml:space="preserve">et même de retirer son tampon hygiénique, </w:t>
      </w:r>
      <w:r w:rsidRPr="007F3E67">
        <w:rPr>
          <w:lang w:val="fr-FR"/>
        </w:rPr>
        <w:t>devant une femme médecin et quatre agentes de police. Alors qu</w:t>
      </w:r>
      <w:r w:rsidR="007F3E67" w:rsidRPr="007F3E67">
        <w:rPr>
          <w:lang w:val="fr-FR"/>
        </w:rPr>
        <w:t>’</w:t>
      </w:r>
      <w:r w:rsidRPr="007F3E67">
        <w:rPr>
          <w:lang w:val="fr-FR"/>
        </w:rPr>
        <w:t xml:space="preserve">elle </w:t>
      </w:r>
      <w:r w:rsidR="00A8177F" w:rsidRPr="007F3E67">
        <w:rPr>
          <w:lang w:val="fr-FR"/>
        </w:rPr>
        <w:t>passait</w:t>
      </w:r>
      <w:r w:rsidR="00A8177F" w:rsidRPr="007F3E67">
        <w:rPr>
          <w:szCs w:val="24"/>
          <w:lang w:val="fr-FR"/>
        </w:rPr>
        <w:t xml:space="preserve"> dans </w:t>
      </w:r>
      <w:r w:rsidRPr="007F3E67">
        <w:rPr>
          <w:szCs w:val="24"/>
          <w:lang w:val="fr-FR"/>
        </w:rPr>
        <w:t>un couloir, un agent lui fit un croche-pied.</w:t>
      </w:r>
      <w:r w:rsidRPr="007F3E67">
        <w:rPr>
          <w:lang w:val="fr-FR"/>
        </w:rPr>
        <w:t xml:space="preserve"> On essaya de la contraindre à signer des documents rédigés uniquement en italien. Elle fut ensuite transférée à la prison de Voghera.</w:t>
      </w:r>
    </w:p>
    <w:p w:rsidR="00E235F1" w:rsidRPr="007F3E67" w:rsidRDefault="00681EA4" w:rsidP="007F3E67">
      <w:pPr>
        <w:pStyle w:val="ECHRHeading3"/>
        <w:rPr>
          <w:lang w:val="fr-FR"/>
        </w:rPr>
      </w:pPr>
      <w:r w:rsidRPr="007F3E67">
        <w:rPr>
          <w:lang w:val="fr-FR"/>
        </w:rPr>
        <w:t>2.</w:t>
      </w:r>
      <w:r w:rsidR="00E235F1" w:rsidRPr="007F3E67">
        <w:rPr>
          <w:lang w:val="fr-FR"/>
        </w:rPr>
        <w:t xml:space="preserve">  Requête </w:t>
      </w:r>
      <w:r w:rsidR="00E235F1" w:rsidRPr="007F3E67">
        <w:rPr>
          <w:szCs w:val="24"/>
          <w:lang w:val="fr-FR"/>
        </w:rPr>
        <w:t>n</w:t>
      </w:r>
      <w:r w:rsidR="00E235F1" w:rsidRPr="007F3E67">
        <w:rPr>
          <w:szCs w:val="24"/>
          <w:vertAlign w:val="superscript"/>
          <w:lang w:val="fr-FR"/>
        </w:rPr>
        <w:t>o</w:t>
      </w:r>
      <w:r w:rsidR="00E235F1" w:rsidRPr="007F3E67">
        <w:rPr>
          <w:lang w:val="fr-FR"/>
        </w:rPr>
        <w:t xml:space="preserve"> 67599/10</w:t>
      </w:r>
    </w:p>
    <w:p w:rsidR="00E235F1" w:rsidRPr="007F3E67" w:rsidRDefault="00E235F1" w:rsidP="007F3E67">
      <w:pPr>
        <w:pStyle w:val="ECHRPara"/>
        <w:rPr>
          <w:lang w:val="fr-FR"/>
        </w:rPr>
      </w:pPr>
      <w:r w:rsidRPr="007F3E67">
        <w:rPr>
          <w:lang w:val="fr-FR"/>
        </w:rPr>
        <w:fldChar w:fldCharType="begin"/>
      </w:r>
      <w:r w:rsidRPr="007F3E67">
        <w:rPr>
          <w:lang w:val="fr-FR"/>
        </w:rPr>
        <w:instrText xml:space="preserve"> SEQ level0 \*arabic </w:instrText>
      </w:r>
      <w:r w:rsidRPr="007F3E67">
        <w:rPr>
          <w:lang w:val="fr-FR"/>
        </w:rPr>
        <w:fldChar w:fldCharType="separate"/>
      </w:r>
      <w:r w:rsidR="007F3E67" w:rsidRPr="007F3E67">
        <w:rPr>
          <w:noProof/>
          <w:lang w:val="fr-FR"/>
        </w:rPr>
        <w:t>30</w:t>
      </w:r>
      <w:r w:rsidRPr="007F3E67">
        <w:rPr>
          <w:lang w:val="fr-FR"/>
        </w:rPr>
        <w:fldChar w:fldCharType="end"/>
      </w:r>
      <w:r w:rsidRPr="007F3E67">
        <w:rPr>
          <w:lang w:val="fr-FR"/>
        </w:rPr>
        <w:t>.  M</w:t>
      </w:r>
      <w:r w:rsidRPr="007F3E67">
        <w:rPr>
          <w:rFonts w:ascii="Times New (W1)" w:hAnsi="Times New (W1)"/>
          <w:vertAlign w:val="superscript"/>
          <w:lang w:val="fr-FR"/>
        </w:rPr>
        <w:t>me</w:t>
      </w:r>
      <w:r w:rsidRPr="007F3E67">
        <w:rPr>
          <w:szCs w:val="24"/>
          <w:lang w:val="fr-FR"/>
        </w:rPr>
        <w:t xml:space="preserve"> Kutschkau </w:t>
      </w:r>
      <w:r w:rsidRPr="007F3E67">
        <w:rPr>
          <w:lang w:val="fr-FR"/>
        </w:rPr>
        <w:t>fut arrêtée à l</w:t>
      </w:r>
      <w:r w:rsidR="007F3E67" w:rsidRPr="007F3E67">
        <w:rPr>
          <w:lang w:val="fr-FR"/>
        </w:rPr>
        <w:t>’</w:t>
      </w:r>
      <w:r w:rsidRPr="007F3E67">
        <w:rPr>
          <w:lang w:val="fr-FR"/>
        </w:rPr>
        <w:t>école Diaz-Pertini et transportée à l</w:t>
      </w:r>
      <w:r w:rsidR="007F3E67" w:rsidRPr="007F3E67">
        <w:rPr>
          <w:lang w:val="fr-FR"/>
        </w:rPr>
        <w:t>’</w:t>
      </w:r>
      <w:r w:rsidRPr="007F3E67">
        <w:rPr>
          <w:lang w:val="fr-FR"/>
        </w:rPr>
        <w:t xml:space="preserve">hôpital pour une fracture de la mâchoire, la perte de deux dents, une subluxation de deux autres dents et un traumatisme crânien. </w:t>
      </w:r>
      <w:r w:rsidR="00A8177F" w:rsidRPr="007F3E67">
        <w:rPr>
          <w:lang w:val="fr-FR"/>
        </w:rPr>
        <w:t>Elle fut ensuite transférée à</w:t>
      </w:r>
      <w:r w:rsidRPr="007F3E67">
        <w:rPr>
          <w:lang w:val="fr-FR"/>
        </w:rPr>
        <w:t xml:space="preserve"> la caserne de Bolzaneto le 22 juillet à l</w:t>
      </w:r>
      <w:r w:rsidR="007F3E67" w:rsidRPr="007F3E67">
        <w:rPr>
          <w:lang w:val="fr-FR"/>
        </w:rPr>
        <w:t>’</w:t>
      </w:r>
      <w:r w:rsidRPr="007F3E67">
        <w:rPr>
          <w:lang w:val="fr-FR"/>
        </w:rPr>
        <w:t>aube</w:t>
      </w:r>
      <w:r w:rsidR="00A8177F" w:rsidRPr="007F3E67">
        <w:rPr>
          <w:lang w:val="fr-FR"/>
        </w:rPr>
        <w:t>.</w:t>
      </w:r>
      <w:r w:rsidRPr="007F3E67">
        <w:rPr>
          <w:lang w:val="fr-FR"/>
        </w:rPr>
        <w:t xml:space="preserve"> </w:t>
      </w:r>
      <w:r w:rsidR="00A8177F" w:rsidRPr="007F3E67">
        <w:rPr>
          <w:lang w:val="fr-FR"/>
        </w:rPr>
        <w:t>À son arrivée à la caserne, e</w:t>
      </w:r>
      <w:r w:rsidRPr="007F3E67">
        <w:rPr>
          <w:lang w:val="fr-FR"/>
        </w:rPr>
        <w:t>lle fut placée contre un mur</w:t>
      </w:r>
      <w:r w:rsidR="00A8177F" w:rsidRPr="007F3E67">
        <w:rPr>
          <w:lang w:val="fr-FR"/>
        </w:rPr>
        <w:t xml:space="preserve"> jambes écartées et bras en l</w:t>
      </w:r>
      <w:r w:rsidR="007F3E67" w:rsidRPr="007F3E67">
        <w:rPr>
          <w:lang w:val="fr-FR"/>
        </w:rPr>
        <w:t>’</w:t>
      </w:r>
      <w:r w:rsidR="00A8177F" w:rsidRPr="007F3E67">
        <w:rPr>
          <w:lang w:val="fr-FR"/>
        </w:rPr>
        <w:t>air</w:t>
      </w:r>
      <w:r w:rsidRPr="007F3E67">
        <w:rPr>
          <w:lang w:val="fr-FR"/>
        </w:rPr>
        <w:t>, d</w:t>
      </w:r>
      <w:r w:rsidR="007F3E67" w:rsidRPr="007F3E67">
        <w:rPr>
          <w:lang w:val="fr-FR"/>
        </w:rPr>
        <w:t>’</w:t>
      </w:r>
      <w:r w:rsidRPr="007F3E67">
        <w:rPr>
          <w:lang w:val="fr-FR"/>
        </w:rPr>
        <w:t>abord dans la cour puis à l</w:t>
      </w:r>
      <w:r w:rsidR="007F3E67" w:rsidRPr="007F3E67">
        <w:rPr>
          <w:lang w:val="fr-FR"/>
        </w:rPr>
        <w:t>’</w:t>
      </w:r>
      <w:r w:rsidRPr="007F3E67">
        <w:rPr>
          <w:lang w:val="fr-FR"/>
        </w:rPr>
        <w:t>intérieur. Elle dut ensuite reprendre cette position plusieurs fois à l</w:t>
      </w:r>
      <w:r w:rsidR="007F3E67" w:rsidRPr="007F3E67">
        <w:rPr>
          <w:lang w:val="fr-FR"/>
        </w:rPr>
        <w:t>’</w:t>
      </w:r>
      <w:r w:rsidRPr="007F3E67">
        <w:rPr>
          <w:lang w:val="fr-FR"/>
        </w:rPr>
        <w:t>intérieur de la caserne où elle fut à nouveau frappée. Lorsqu</w:t>
      </w:r>
      <w:r w:rsidR="007F3E67" w:rsidRPr="007F3E67">
        <w:rPr>
          <w:lang w:val="fr-FR"/>
        </w:rPr>
        <w:t>’</w:t>
      </w:r>
      <w:r w:rsidRPr="007F3E67">
        <w:rPr>
          <w:lang w:val="fr-FR"/>
        </w:rPr>
        <w:t xml:space="preserve">elle se rendit aux toilettes, elle dut marcher la tête baissée et un bras dans le dos, et fut frappée et insultée. </w:t>
      </w:r>
      <w:r w:rsidR="00E016D8" w:rsidRPr="007F3E67">
        <w:rPr>
          <w:lang w:val="fr-FR"/>
        </w:rPr>
        <w:t>À</w:t>
      </w:r>
      <w:r w:rsidRPr="007F3E67">
        <w:rPr>
          <w:lang w:val="fr-FR"/>
        </w:rPr>
        <w:t xml:space="preserve"> maintes reprises, les agents se moquèrent de ses blessures à la bouche. Elle fut privée de ses effets personnels et de ses protections hygiéniques et ne reçut pas de soins adéquats à l</w:t>
      </w:r>
      <w:r w:rsidR="007F3E67" w:rsidRPr="007F3E67">
        <w:rPr>
          <w:lang w:val="fr-FR"/>
        </w:rPr>
        <w:t>’</w:t>
      </w:r>
      <w:r w:rsidRPr="007F3E67">
        <w:rPr>
          <w:lang w:val="fr-FR"/>
        </w:rPr>
        <w:t>infirmerie de la caserne, où un médecin la menaça de la frapper à nouveau sur la bouche avec une matraque qu</w:t>
      </w:r>
      <w:r w:rsidR="007F3E67" w:rsidRPr="007F3E67">
        <w:rPr>
          <w:lang w:val="fr-FR"/>
        </w:rPr>
        <w:t>’</w:t>
      </w:r>
      <w:r w:rsidRPr="007F3E67">
        <w:rPr>
          <w:lang w:val="fr-FR"/>
        </w:rPr>
        <w:t>il tenait près de lui. Elle ne put prendre contact ni avec sa famille</w:t>
      </w:r>
      <w:r w:rsidR="00A8177F" w:rsidRPr="007F3E67">
        <w:rPr>
          <w:lang w:val="fr-FR"/>
        </w:rPr>
        <w:t>,</w:t>
      </w:r>
      <w:r w:rsidRPr="007F3E67">
        <w:rPr>
          <w:lang w:val="fr-FR"/>
        </w:rPr>
        <w:t xml:space="preserve"> ni avec un avocat</w:t>
      </w:r>
      <w:r w:rsidR="00A8177F" w:rsidRPr="007F3E67">
        <w:rPr>
          <w:lang w:val="fr-FR"/>
        </w:rPr>
        <w:t>,</w:t>
      </w:r>
      <w:r w:rsidRPr="007F3E67">
        <w:rPr>
          <w:lang w:val="fr-FR"/>
        </w:rPr>
        <w:t xml:space="preserve"> ni avec les autorités diplomatiques de son pays. Le 23 juillet, à midi, elle fut transférée à la prison de Pavie.</w:t>
      </w:r>
    </w:p>
    <w:p w:rsidR="00E235F1" w:rsidRPr="007F3E67" w:rsidRDefault="00E235F1" w:rsidP="007F3E67">
      <w:pPr>
        <w:pStyle w:val="ECHRPara"/>
        <w:rPr>
          <w:lang w:val="fr-FR"/>
        </w:rPr>
      </w:pPr>
      <w:r w:rsidRPr="007F3E67">
        <w:rPr>
          <w:lang w:val="fr-FR"/>
        </w:rPr>
        <w:fldChar w:fldCharType="begin"/>
      </w:r>
      <w:r w:rsidRPr="007F3E67">
        <w:rPr>
          <w:lang w:val="fr-FR"/>
        </w:rPr>
        <w:instrText xml:space="preserve"> SEQ level0 \*arabic </w:instrText>
      </w:r>
      <w:r w:rsidRPr="007F3E67">
        <w:rPr>
          <w:lang w:val="fr-FR"/>
        </w:rPr>
        <w:fldChar w:fldCharType="separate"/>
      </w:r>
      <w:r w:rsidR="007F3E67" w:rsidRPr="007F3E67">
        <w:rPr>
          <w:noProof/>
          <w:lang w:val="fr-FR"/>
        </w:rPr>
        <w:t>31</w:t>
      </w:r>
      <w:r w:rsidRPr="007F3E67">
        <w:rPr>
          <w:lang w:val="fr-FR"/>
        </w:rPr>
        <w:fldChar w:fldCharType="end"/>
      </w:r>
      <w:r w:rsidRPr="007F3E67">
        <w:rPr>
          <w:lang w:val="fr-FR"/>
        </w:rPr>
        <w:t>.  M</w:t>
      </w:r>
      <w:r w:rsidRPr="007F3E67">
        <w:rPr>
          <w:rFonts w:ascii="Times New (W1)" w:hAnsi="Times New (W1)"/>
          <w:vertAlign w:val="superscript"/>
          <w:lang w:val="fr-FR"/>
        </w:rPr>
        <w:t>me</w:t>
      </w:r>
      <w:r w:rsidRPr="007F3E67">
        <w:rPr>
          <w:szCs w:val="24"/>
          <w:lang w:val="fr-FR"/>
        </w:rPr>
        <w:t xml:space="preserve"> Partesotti fut arrêtée pendant la manifestation du 21 juillet et emmenée à la caserne de Bolzaneto en début d</w:t>
      </w:r>
      <w:r w:rsidR="007F3E67" w:rsidRPr="007F3E67">
        <w:rPr>
          <w:szCs w:val="24"/>
          <w:lang w:val="fr-FR"/>
        </w:rPr>
        <w:t>’</w:t>
      </w:r>
      <w:r w:rsidRPr="007F3E67">
        <w:rPr>
          <w:szCs w:val="24"/>
          <w:lang w:val="fr-FR"/>
        </w:rPr>
        <w:t>après-midi. Dans la cour de la caserne, dans le couloir et puis dans les cellules où on l</w:t>
      </w:r>
      <w:r w:rsidR="007F3E67" w:rsidRPr="007F3E67">
        <w:rPr>
          <w:szCs w:val="24"/>
          <w:lang w:val="fr-FR"/>
        </w:rPr>
        <w:t>’</w:t>
      </w:r>
      <w:r w:rsidRPr="007F3E67">
        <w:rPr>
          <w:szCs w:val="24"/>
          <w:lang w:val="fr-FR"/>
        </w:rPr>
        <w:t xml:space="preserve">emmena, elle </w:t>
      </w:r>
      <w:r w:rsidRPr="007F3E67">
        <w:rPr>
          <w:lang w:val="fr-FR"/>
        </w:rPr>
        <w:t>fut placée mains et face contre le mur. Tout au long de sa détention à la caserne, elle fut l</w:t>
      </w:r>
      <w:r w:rsidR="007F3E67" w:rsidRPr="007F3E67">
        <w:rPr>
          <w:lang w:val="fr-FR"/>
        </w:rPr>
        <w:t>’</w:t>
      </w:r>
      <w:r w:rsidRPr="007F3E67">
        <w:rPr>
          <w:lang w:val="fr-FR"/>
        </w:rPr>
        <w:t>objet d</w:t>
      </w:r>
      <w:r w:rsidR="007F3E67" w:rsidRPr="007F3E67">
        <w:rPr>
          <w:lang w:val="fr-FR"/>
        </w:rPr>
        <w:t>’</w:t>
      </w:r>
      <w:r w:rsidRPr="007F3E67">
        <w:rPr>
          <w:lang w:val="fr-FR"/>
        </w:rPr>
        <w:t xml:space="preserve">injures (« pute », « salope ») et de menaces (« je viendrai mettre le feu à ton appartement », « il faudrait </w:t>
      </w:r>
      <w:r w:rsidR="00953B6F" w:rsidRPr="007F3E67">
        <w:rPr>
          <w:lang w:val="fr-FR"/>
        </w:rPr>
        <w:t xml:space="preserve">toutes </w:t>
      </w:r>
      <w:r w:rsidRPr="007F3E67">
        <w:rPr>
          <w:lang w:val="fr-FR"/>
        </w:rPr>
        <w:t>vous violer, comme on l</w:t>
      </w:r>
      <w:r w:rsidR="007F3E67" w:rsidRPr="007F3E67">
        <w:rPr>
          <w:lang w:val="fr-FR"/>
        </w:rPr>
        <w:t>’</w:t>
      </w:r>
      <w:r w:rsidRPr="007F3E67">
        <w:rPr>
          <w:lang w:val="fr-FR"/>
        </w:rPr>
        <w:t xml:space="preserve">a fait au Kosovo »). </w:t>
      </w:r>
      <w:r w:rsidR="00953B6F" w:rsidRPr="007F3E67">
        <w:rPr>
          <w:lang w:val="fr-FR"/>
        </w:rPr>
        <w:t>Elle</w:t>
      </w:r>
      <w:r w:rsidRPr="007F3E67">
        <w:rPr>
          <w:lang w:val="fr-FR"/>
        </w:rPr>
        <w:t xml:space="preserve"> dut assister aux sévices infligés à d</w:t>
      </w:r>
      <w:r w:rsidR="007F3E67" w:rsidRPr="007F3E67">
        <w:rPr>
          <w:lang w:val="fr-FR"/>
        </w:rPr>
        <w:t>’</w:t>
      </w:r>
      <w:r w:rsidRPr="007F3E67">
        <w:rPr>
          <w:lang w:val="fr-FR"/>
        </w:rPr>
        <w:t>autres personnes arrêtées et écouter des chants fascistes. Le médecin qui l</w:t>
      </w:r>
      <w:r w:rsidR="007F3E67" w:rsidRPr="007F3E67">
        <w:rPr>
          <w:lang w:val="fr-FR"/>
        </w:rPr>
        <w:t>’</w:t>
      </w:r>
      <w:r w:rsidRPr="007F3E67">
        <w:rPr>
          <w:lang w:val="fr-FR"/>
        </w:rPr>
        <w:t xml:space="preserve">examina omit de relever les hématomes consécutifs à </w:t>
      </w:r>
      <w:r w:rsidR="00A8177F" w:rsidRPr="007F3E67">
        <w:rPr>
          <w:lang w:val="fr-FR"/>
        </w:rPr>
        <w:t xml:space="preserve">son </w:t>
      </w:r>
      <w:r w:rsidRPr="007F3E67">
        <w:rPr>
          <w:lang w:val="fr-FR"/>
        </w:rPr>
        <w:t>arrestation. La requérante ne put prendre contact avec sa famille. Le matin du 22 juillet, elle fut transférée à la prison de Vercelli.</w:t>
      </w:r>
    </w:p>
    <w:p w:rsidR="00E235F1" w:rsidRPr="007F3E67" w:rsidRDefault="00E235F1" w:rsidP="007F3E67">
      <w:pPr>
        <w:pStyle w:val="ECHRPara"/>
        <w:rPr>
          <w:lang w:val="fr-FR"/>
        </w:rPr>
      </w:pPr>
      <w:r w:rsidRPr="007F3E67">
        <w:rPr>
          <w:szCs w:val="24"/>
          <w:lang w:val="fr-FR"/>
        </w:rPr>
        <w:fldChar w:fldCharType="begin"/>
      </w:r>
      <w:r w:rsidRPr="007F3E67">
        <w:rPr>
          <w:szCs w:val="24"/>
          <w:lang w:val="fr-FR"/>
        </w:rPr>
        <w:instrText xml:space="preserve"> SEQ level0 \*arabic </w:instrText>
      </w:r>
      <w:r w:rsidRPr="007F3E67">
        <w:rPr>
          <w:szCs w:val="24"/>
          <w:lang w:val="fr-FR"/>
        </w:rPr>
        <w:fldChar w:fldCharType="separate"/>
      </w:r>
      <w:r w:rsidR="007F3E67" w:rsidRPr="007F3E67">
        <w:rPr>
          <w:noProof/>
          <w:szCs w:val="24"/>
          <w:lang w:val="fr-FR"/>
        </w:rPr>
        <w:t>32</w:t>
      </w:r>
      <w:r w:rsidRPr="007F3E67">
        <w:rPr>
          <w:szCs w:val="24"/>
          <w:lang w:val="fr-FR"/>
        </w:rPr>
        <w:fldChar w:fldCharType="end"/>
      </w:r>
      <w:r w:rsidRPr="007F3E67">
        <w:rPr>
          <w:szCs w:val="24"/>
          <w:lang w:val="fr-FR"/>
        </w:rPr>
        <w:t xml:space="preserve">.  M. Balbas </w:t>
      </w:r>
      <w:r w:rsidRPr="007F3E67">
        <w:rPr>
          <w:lang w:val="fr-FR"/>
        </w:rPr>
        <w:t>fut arrêté à l</w:t>
      </w:r>
      <w:r w:rsidR="007F3E67" w:rsidRPr="007F3E67">
        <w:rPr>
          <w:lang w:val="fr-FR"/>
        </w:rPr>
        <w:t>’</w:t>
      </w:r>
      <w:r w:rsidRPr="007F3E67">
        <w:rPr>
          <w:lang w:val="fr-FR"/>
        </w:rPr>
        <w:t>école Diaz-Pertini et transporté à l</w:t>
      </w:r>
      <w:r w:rsidR="007F3E67" w:rsidRPr="007F3E67">
        <w:rPr>
          <w:lang w:val="fr-FR"/>
        </w:rPr>
        <w:t>’</w:t>
      </w:r>
      <w:r w:rsidRPr="007F3E67">
        <w:rPr>
          <w:lang w:val="fr-FR"/>
        </w:rPr>
        <w:t xml:space="preserve">hôpital pour une blessure à la cheville. </w:t>
      </w:r>
      <w:r w:rsidR="00B455A2" w:rsidRPr="007F3E67">
        <w:rPr>
          <w:lang w:val="fr-FR"/>
        </w:rPr>
        <w:t>À</w:t>
      </w:r>
      <w:r w:rsidRPr="007F3E67">
        <w:rPr>
          <w:lang w:val="fr-FR"/>
        </w:rPr>
        <w:t xml:space="preserve"> son arrivée à la caserne de Bolzaneto, le 22 juillet au soir, il fut lui aussi insulté et marqué d</w:t>
      </w:r>
      <w:r w:rsidR="007F3E67" w:rsidRPr="007F3E67">
        <w:rPr>
          <w:lang w:val="fr-FR"/>
        </w:rPr>
        <w:t>’</w:t>
      </w:r>
      <w:r w:rsidRPr="007F3E67">
        <w:rPr>
          <w:lang w:val="fr-FR"/>
        </w:rPr>
        <w:t xml:space="preserve">une croix rouge sur le visage. Il fut ensuite placé dans une cellule où il fut obligé de rester </w:t>
      </w:r>
      <w:r w:rsidR="00A8177F" w:rsidRPr="007F3E67">
        <w:rPr>
          <w:lang w:val="fr-FR"/>
        </w:rPr>
        <w:t xml:space="preserve">les </w:t>
      </w:r>
      <w:r w:rsidRPr="007F3E67">
        <w:rPr>
          <w:lang w:val="fr-FR"/>
        </w:rPr>
        <w:t xml:space="preserve">jambes écartées et </w:t>
      </w:r>
      <w:r w:rsidR="00A8177F" w:rsidRPr="007F3E67">
        <w:rPr>
          <w:lang w:val="fr-FR"/>
        </w:rPr>
        <w:t xml:space="preserve">les </w:t>
      </w:r>
      <w:r w:rsidRPr="007F3E67">
        <w:rPr>
          <w:lang w:val="fr-FR"/>
        </w:rPr>
        <w:t>bras levés pendant deux heures environ</w:t>
      </w:r>
      <w:r w:rsidR="00A8177F" w:rsidRPr="007F3E67">
        <w:rPr>
          <w:lang w:val="fr-FR"/>
        </w:rPr>
        <w:t xml:space="preserve"> et</w:t>
      </w:r>
      <w:r w:rsidRPr="007F3E67">
        <w:rPr>
          <w:lang w:val="fr-FR"/>
        </w:rPr>
        <w:t xml:space="preserve"> </w:t>
      </w:r>
      <w:r w:rsidR="00A8177F" w:rsidRPr="007F3E67">
        <w:rPr>
          <w:lang w:val="fr-FR"/>
        </w:rPr>
        <w:t>menacé</w:t>
      </w:r>
      <w:r w:rsidRPr="007F3E67">
        <w:rPr>
          <w:lang w:val="fr-FR"/>
        </w:rPr>
        <w:t xml:space="preserve"> </w:t>
      </w:r>
      <w:r w:rsidR="00A8177F" w:rsidRPr="007F3E67">
        <w:rPr>
          <w:lang w:val="fr-FR"/>
        </w:rPr>
        <w:t xml:space="preserve">de </w:t>
      </w:r>
      <w:r w:rsidR="00A8177F" w:rsidRPr="007F3E67">
        <w:rPr>
          <w:lang w:val="fr-FR"/>
        </w:rPr>
        <w:lastRenderedPageBreak/>
        <w:t>coups</w:t>
      </w:r>
      <w:r w:rsidRPr="007F3E67">
        <w:rPr>
          <w:lang w:val="fr-FR"/>
        </w:rPr>
        <w:t xml:space="preserve"> s</w:t>
      </w:r>
      <w:r w:rsidR="007F3E67" w:rsidRPr="007F3E67">
        <w:rPr>
          <w:lang w:val="fr-FR"/>
        </w:rPr>
        <w:t>’</w:t>
      </w:r>
      <w:r w:rsidRPr="007F3E67">
        <w:rPr>
          <w:lang w:val="fr-FR"/>
        </w:rPr>
        <w:t>il bougeait. Il entendit des cris provenant d</w:t>
      </w:r>
      <w:r w:rsidR="007F3E67" w:rsidRPr="007F3E67">
        <w:rPr>
          <w:lang w:val="fr-FR"/>
        </w:rPr>
        <w:t>’</w:t>
      </w:r>
      <w:r w:rsidRPr="007F3E67">
        <w:rPr>
          <w:lang w:val="fr-FR"/>
        </w:rPr>
        <w:t xml:space="preserve">autres cellules. Lors de son passage dans le couloir de la caserne, il fut contraint de marcher </w:t>
      </w:r>
      <w:r w:rsidR="00A8177F" w:rsidRPr="007F3E67">
        <w:rPr>
          <w:lang w:val="fr-FR"/>
        </w:rPr>
        <w:t xml:space="preserve">la </w:t>
      </w:r>
      <w:r w:rsidRPr="007F3E67">
        <w:rPr>
          <w:lang w:val="fr-FR"/>
        </w:rPr>
        <w:t xml:space="preserve">tête baissée et </w:t>
      </w:r>
      <w:r w:rsidR="00A8177F" w:rsidRPr="007F3E67">
        <w:rPr>
          <w:lang w:val="fr-FR"/>
        </w:rPr>
        <w:t xml:space="preserve">les </w:t>
      </w:r>
      <w:r w:rsidRPr="007F3E67">
        <w:rPr>
          <w:lang w:val="fr-FR"/>
        </w:rPr>
        <w:t>mains derrière la nuque entre des agents qui le frappèrent. Il fut l</w:t>
      </w:r>
      <w:r w:rsidR="007F3E67" w:rsidRPr="007F3E67">
        <w:rPr>
          <w:lang w:val="fr-FR"/>
        </w:rPr>
        <w:t>’</w:t>
      </w:r>
      <w:r w:rsidRPr="007F3E67">
        <w:rPr>
          <w:lang w:val="fr-FR"/>
        </w:rPr>
        <w:t>objet d</w:t>
      </w:r>
      <w:r w:rsidR="007F3E67" w:rsidRPr="007F3E67">
        <w:rPr>
          <w:lang w:val="fr-FR"/>
        </w:rPr>
        <w:t>’</w:t>
      </w:r>
      <w:r w:rsidRPr="007F3E67">
        <w:rPr>
          <w:lang w:val="fr-FR"/>
        </w:rPr>
        <w:t xml:space="preserve">injures </w:t>
      </w:r>
      <w:r w:rsidR="00A8177F" w:rsidRPr="007F3E67">
        <w:rPr>
          <w:lang w:val="fr-FR"/>
        </w:rPr>
        <w:t xml:space="preserve">telles que </w:t>
      </w:r>
      <w:r w:rsidRPr="007F3E67">
        <w:rPr>
          <w:szCs w:val="24"/>
          <w:lang w:val="fr-FR"/>
        </w:rPr>
        <w:t>« connard de communiste », « salaud », « tu es une merde ». Le requ</w:t>
      </w:r>
      <w:r w:rsidRPr="007F3E67">
        <w:rPr>
          <w:lang w:val="fr-FR"/>
        </w:rPr>
        <w:t>érant ne put prendre contact ni avec sa famille ni avec les autorités diplomatiques de son pays. Dans la nuit du 22 au 23 juillet, il fut transféré dans une prison dont le nom n</w:t>
      </w:r>
      <w:r w:rsidR="007F3E67" w:rsidRPr="007F3E67">
        <w:rPr>
          <w:lang w:val="fr-FR"/>
        </w:rPr>
        <w:t>’</w:t>
      </w:r>
      <w:r w:rsidRPr="007F3E67">
        <w:rPr>
          <w:lang w:val="fr-FR"/>
        </w:rPr>
        <w:t>est pas précisé</w:t>
      </w:r>
      <w:r w:rsidR="00A8177F" w:rsidRPr="007F3E67">
        <w:rPr>
          <w:lang w:val="fr-FR"/>
        </w:rPr>
        <w:t xml:space="preserve"> dans le dossier</w:t>
      </w:r>
      <w:r w:rsidRPr="007F3E67">
        <w:rPr>
          <w:lang w:val="fr-FR"/>
        </w:rPr>
        <w:t>.</w:t>
      </w:r>
    </w:p>
    <w:p w:rsidR="00E235F1" w:rsidRPr="007F3E67" w:rsidRDefault="00E235F1" w:rsidP="007F3E67">
      <w:pPr>
        <w:pStyle w:val="ECHRPara"/>
        <w:rPr>
          <w:lang w:val="fr-FR"/>
        </w:rPr>
      </w:pPr>
      <w:r w:rsidRPr="007F3E67">
        <w:rPr>
          <w:lang w:val="fr-FR"/>
        </w:rPr>
        <w:fldChar w:fldCharType="begin"/>
      </w:r>
      <w:r w:rsidRPr="007F3E67">
        <w:rPr>
          <w:lang w:val="fr-FR"/>
        </w:rPr>
        <w:instrText xml:space="preserve"> SEQ level0 \*arabic </w:instrText>
      </w:r>
      <w:r w:rsidRPr="007F3E67">
        <w:rPr>
          <w:lang w:val="fr-FR"/>
        </w:rPr>
        <w:fldChar w:fldCharType="separate"/>
      </w:r>
      <w:r w:rsidR="007F3E67" w:rsidRPr="007F3E67">
        <w:rPr>
          <w:noProof/>
          <w:lang w:val="fr-FR"/>
        </w:rPr>
        <w:t>33</w:t>
      </w:r>
      <w:r w:rsidRPr="007F3E67">
        <w:rPr>
          <w:lang w:val="fr-FR"/>
        </w:rPr>
        <w:fldChar w:fldCharType="end"/>
      </w:r>
      <w:r w:rsidRPr="007F3E67">
        <w:rPr>
          <w:lang w:val="fr-FR"/>
        </w:rPr>
        <w:t>.  M</w:t>
      </w:r>
      <w:r w:rsidRPr="007F3E67">
        <w:rPr>
          <w:rFonts w:ascii="Times New (W1)" w:hAnsi="Times New (W1)"/>
          <w:vertAlign w:val="superscript"/>
          <w:lang w:val="fr-FR"/>
        </w:rPr>
        <w:t>me</w:t>
      </w:r>
      <w:r w:rsidRPr="007F3E67">
        <w:rPr>
          <w:szCs w:val="24"/>
          <w:lang w:val="fr-FR"/>
        </w:rPr>
        <w:t xml:space="preserve"> Bruschi </w:t>
      </w:r>
      <w:r w:rsidRPr="007F3E67">
        <w:rPr>
          <w:lang w:val="fr-FR"/>
        </w:rPr>
        <w:t>fut arrêtée à l</w:t>
      </w:r>
      <w:r w:rsidR="007F3E67" w:rsidRPr="007F3E67">
        <w:rPr>
          <w:lang w:val="fr-FR"/>
        </w:rPr>
        <w:t>’</w:t>
      </w:r>
      <w:r w:rsidRPr="007F3E67">
        <w:rPr>
          <w:lang w:val="fr-FR"/>
        </w:rPr>
        <w:t>école Diaz-Pertini et emmenée à la caserne de Bolzaneto</w:t>
      </w:r>
      <w:r w:rsidRPr="007F3E67">
        <w:rPr>
          <w:szCs w:val="24"/>
          <w:lang w:val="fr-FR"/>
        </w:rPr>
        <w:t xml:space="preserve"> dans la nuit du 21 au 22 juillet. </w:t>
      </w:r>
      <w:r w:rsidRPr="007F3E67">
        <w:rPr>
          <w:lang w:val="fr-FR"/>
        </w:rPr>
        <w:t>Elle fut placée contre un mur dans la cour, jambes écartées et bras en l</w:t>
      </w:r>
      <w:r w:rsidR="007F3E67" w:rsidRPr="007F3E67">
        <w:rPr>
          <w:lang w:val="fr-FR"/>
        </w:rPr>
        <w:t>’</w:t>
      </w:r>
      <w:r w:rsidRPr="007F3E67">
        <w:rPr>
          <w:lang w:val="fr-FR"/>
        </w:rPr>
        <w:t>air, et menacée par un agent d</w:t>
      </w:r>
      <w:r w:rsidR="007F3E67" w:rsidRPr="007F3E67">
        <w:rPr>
          <w:lang w:val="fr-FR"/>
        </w:rPr>
        <w:t>’</w:t>
      </w:r>
      <w:r w:rsidRPr="007F3E67">
        <w:rPr>
          <w:lang w:val="fr-FR"/>
        </w:rPr>
        <w:t>être sodomisée avec une matraque. Elle fut ensuite conduite à l</w:t>
      </w:r>
      <w:r w:rsidR="007F3E67" w:rsidRPr="007F3E67">
        <w:rPr>
          <w:lang w:val="fr-FR"/>
        </w:rPr>
        <w:t>’</w:t>
      </w:r>
      <w:r w:rsidRPr="007F3E67">
        <w:rPr>
          <w:lang w:val="fr-FR"/>
        </w:rPr>
        <w:t xml:space="preserve">intérieur, contrainte de marcher </w:t>
      </w:r>
      <w:r w:rsidR="00953B6F" w:rsidRPr="007F3E67">
        <w:rPr>
          <w:lang w:val="fr-FR"/>
        </w:rPr>
        <w:t>penchée</w:t>
      </w:r>
      <w:r w:rsidRPr="007F3E67">
        <w:rPr>
          <w:lang w:val="fr-FR"/>
        </w:rPr>
        <w:t xml:space="preserve"> en avant et les mains derrière la nuque, </w:t>
      </w:r>
      <w:r w:rsidR="00ED25EB" w:rsidRPr="007F3E67">
        <w:rPr>
          <w:lang w:val="fr-FR"/>
        </w:rPr>
        <w:t>puis</w:t>
      </w:r>
      <w:r w:rsidRPr="007F3E67">
        <w:rPr>
          <w:lang w:val="fr-FR"/>
        </w:rPr>
        <w:t xml:space="preserve"> placée dans une cellule, où elle fut à nouveau obligée de se tenir jambes écartées et bras en l</w:t>
      </w:r>
      <w:r w:rsidR="007F3E67" w:rsidRPr="007F3E67">
        <w:rPr>
          <w:lang w:val="fr-FR"/>
        </w:rPr>
        <w:t>’</w:t>
      </w:r>
      <w:r w:rsidRPr="007F3E67">
        <w:rPr>
          <w:lang w:val="fr-FR"/>
        </w:rPr>
        <w:t>air pendant trois heures environ. Elle entendit des cris et des coups provenant d</w:t>
      </w:r>
      <w:r w:rsidR="007F3E67" w:rsidRPr="007F3E67">
        <w:rPr>
          <w:lang w:val="fr-FR"/>
        </w:rPr>
        <w:t>’</w:t>
      </w:r>
      <w:r w:rsidRPr="007F3E67">
        <w:rPr>
          <w:lang w:val="fr-FR"/>
        </w:rPr>
        <w:t>autres cellules</w:t>
      </w:r>
      <w:r w:rsidR="00953B6F" w:rsidRPr="007F3E67">
        <w:rPr>
          <w:lang w:val="fr-FR"/>
        </w:rPr>
        <w:t xml:space="preserve"> et</w:t>
      </w:r>
      <w:r w:rsidRPr="007F3E67">
        <w:rPr>
          <w:lang w:val="fr-FR"/>
        </w:rPr>
        <w:t xml:space="preserve"> elle vit d</w:t>
      </w:r>
      <w:r w:rsidR="007F3E67" w:rsidRPr="007F3E67">
        <w:rPr>
          <w:lang w:val="fr-FR"/>
        </w:rPr>
        <w:t>’</w:t>
      </w:r>
      <w:r w:rsidRPr="007F3E67">
        <w:rPr>
          <w:lang w:val="fr-FR"/>
        </w:rPr>
        <w:t>autres personnes arrêtées qui souffraient. Lors d</w:t>
      </w:r>
      <w:r w:rsidR="007F3E67" w:rsidRPr="007F3E67">
        <w:rPr>
          <w:lang w:val="fr-FR"/>
        </w:rPr>
        <w:t>’</w:t>
      </w:r>
      <w:r w:rsidRPr="007F3E67">
        <w:rPr>
          <w:lang w:val="fr-FR"/>
        </w:rPr>
        <w:t>une visite médicale, elle dut se dévêtir partiellement devant des hommes, pendant que le médecin l</w:t>
      </w:r>
      <w:r w:rsidR="007F3E67" w:rsidRPr="007F3E67">
        <w:rPr>
          <w:lang w:val="fr-FR"/>
        </w:rPr>
        <w:t>’</w:t>
      </w:r>
      <w:r w:rsidRPr="007F3E67">
        <w:rPr>
          <w:lang w:val="fr-FR"/>
        </w:rPr>
        <w:t>insultait et disait que les manifestants arrêtés dans l</w:t>
      </w:r>
      <w:r w:rsidR="007F3E67" w:rsidRPr="007F3E67">
        <w:rPr>
          <w:lang w:val="fr-FR"/>
        </w:rPr>
        <w:t>’</w:t>
      </w:r>
      <w:r w:rsidRPr="007F3E67">
        <w:rPr>
          <w:lang w:val="fr-FR"/>
        </w:rPr>
        <w:t xml:space="preserve">école Diaz-Pertini auraient </w:t>
      </w:r>
      <w:r w:rsidR="00D6389C" w:rsidRPr="007F3E67">
        <w:rPr>
          <w:lang w:val="fr-FR"/>
        </w:rPr>
        <w:t xml:space="preserve">tous </w:t>
      </w:r>
      <w:r w:rsidRPr="007F3E67">
        <w:rPr>
          <w:lang w:val="fr-FR"/>
        </w:rPr>
        <w:t>dû être fusillés. Le 23 juillet, à l</w:t>
      </w:r>
      <w:r w:rsidR="007F3E67" w:rsidRPr="007F3E67">
        <w:rPr>
          <w:lang w:val="fr-FR"/>
        </w:rPr>
        <w:t>’</w:t>
      </w:r>
      <w:r w:rsidRPr="007F3E67">
        <w:rPr>
          <w:lang w:val="fr-FR"/>
        </w:rPr>
        <w:t>aube, elle fut transférée à la prison de Vercelli.</w:t>
      </w:r>
    </w:p>
    <w:p w:rsidR="00E235F1" w:rsidRPr="007F3E67" w:rsidRDefault="00E235F1" w:rsidP="007F3E67">
      <w:pPr>
        <w:pStyle w:val="ECHRPara"/>
        <w:rPr>
          <w:lang w:val="fr-FR"/>
        </w:rPr>
      </w:pPr>
      <w:r w:rsidRPr="007F3E67">
        <w:rPr>
          <w:lang w:val="fr-FR"/>
        </w:rPr>
        <w:fldChar w:fldCharType="begin"/>
      </w:r>
      <w:r w:rsidRPr="007F3E67">
        <w:rPr>
          <w:lang w:val="fr-FR"/>
        </w:rPr>
        <w:instrText xml:space="preserve"> SEQ level0 \*arabic </w:instrText>
      </w:r>
      <w:r w:rsidRPr="007F3E67">
        <w:rPr>
          <w:lang w:val="fr-FR"/>
        </w:rPr>
        <w:fldChar w:fldCharType="separate"/>
      </w:r>
      <w:r w:rsidR="007F3E67" w:rsidRPr="007F3E67">
        <w:rPr>
          <w:noProof/>
          <w:lang w:val="fr-FR"/>
        </w:rPr>
        <w:t>34</w:t>
      </w:r>
      <w:r w:rsidRPr="007F3E67">
        <w:rPr>
          <w:lang w:val="fr-FR"/>
        </w:rPr>
        <w:fldChar w:fldCharType="end"/>
      </w:r>
      <w:r w:rsidRPr="007F3E67">
        <w:rPr>
          <w:lang w:val="fr-FR"/>
        </w:rPr>
        <w:t>.  M</w:t>
      </w:r>
      <w:r w:rsidRPr="007F3E67">
        <w:rPr>
          <w:rFonts w:ascii="Times New (W1)" w:hAnsi="Times New (W1)"/>
          <w:vertAlign w:val="superscript"/>
          <w:lang w:val="fr-FR"/>
        </w:rPr>
        <w:t>me</w:t>
      </w:r>
      <w:r w:rsidRPr="007F3E67">
        <w:rPr>
          <w:szCs w:val="24"/>
          <w:lang w:val="fr-FR"/>
        </w:rPr>
        <w:t xml:space="preserve"> Digenti </w:t>
      </w:r>
      <w:r w:rsidRPr="007F3E67">
        <w:rPr>
          <w:lang w:val="fr-FR"/>
        </w:rPr>
        <w:t>fut arrêtée à l</w:t>
      </w:r>
      <w:r w:rsidR="007F3E67" w:rsidRPr="007F3E67">
        <w:rPr>
          <w:lang w:val="fr-FR"/>
        </w:rPr>
        <w:t>’</w:t>
      </w:r>
      <w:r w:rsidRPr="007F3E67">
        <w:rPr>
          <w:lang w:val="fr-FR"/>
        </w:rPr>
        <w:t xml:space="preserve">école Diaz-Pertini et emmenée à la caserne de Bolzaneto </w:t>
      </w:r>
      <w:r w:rsidRPr="007F3E67">
        <w:rPr>
          <w:szCs w:val="24"/>
          <w:lang w:val="fr-FR"/>
        </w:rPr>
        <w:t xml:space="preserve">dans la nuit du 21 au 22 juillet, malgré des blessures consécutives à </w:t>
      </w:r>
      <w:r w:rsidR="00D6389C" w:rsidRPr="007F3E67">
        <w:rPr>
          <w:szCs w:val="24"/>
          <w:lang w:val="fr-FR"/>
        </w:rPr>
        <w:t xml:space="preserve">son </w:t>
      </w:r>
      <w:r w:rsidRPr="007F3E67">
        <w:rPr>
          <w:szCs w:val="24"/>
          <w:lang w:val="fr-FR"/>
        </w:rPr>
        <w:t xml:space="preserve">arrestation. </w:t>
      </w:r>
      <w:r w:rsidRPr="007F3E67">
        <w:rPr>
          <w:lang w:val="fr-FR"/>
        </w:rPr>
        <w:t>Elle fut placée contre un mur dans la cour, jambes écartées et bras en l</w:t>
      </w:r>
      <w:r w:rsidR="007F3E67" w:rsidRPr="007F3E67">
        <w:rPr>
          <w:lang w:val="fr-FR"/>
        </w:rPr>
        <w:t>’</w:t>
      </w:r>
      <w:r w:rsidRPr="007F3E67">
        <w:rPr>
          <w:lang w:val="fr-FR"/>
        </w:rPr>
        <w:t>air, et fut l</w:t>
      </w:r>
      <w:r w:rsidR="007F3E67" w:rsidRPr="007F3E67">
        <w:rPr>
          <w:lang w:val="fr-FR"/>
        </w:rPr>
        <w:t>’</w:t>
      </w:r>
      <w:r w:rsidRPr="007F3E67">
        <w:rPr>
          <w:lang w:val="fr-FR"/>
        </w:rPr>
        <w:t>objet d</w:t>
      </w:r>
      <w:r w:rsidR="007F3E67" w:rsidRPr="007F3E67">
        <w:rPr>
          <w:lang w:val="fr-FR"/>
        </w:rPr>
        <w:t>’</w:t>
      </w:r>
      <w:r w:rsidRPr="007F3E67">
        <w:rPr>
          <w:lang w:val="fr-FR"/>
        </w:rPr>
        <w:t>injures et de menaces de la part des agen</w:t>
      </w:r>
      <w:r w:rsidR="008D27CF" w:rsidRPr="007F3E67">
        <w:rPr>
          <w:lang w:val="fr-FR"/>
        </w:rPr>
        <w:t>ts, telles que</w:t>
      </w:r>
      <w:r w:rsidRPr="007F3E67">
        <w:rPr>
          <w:lang w:val="fr-FR"/>
        </w:rPr>
        <w:t xml:space="preserve"> « il faudrait </w:t>
      </w:r>
      <w:r w:rsidR="008D27CF" w:rsidRPr="007F3E67">
        <w:rPr>
          <w:lang w:val="fr-FR"/>
        </w:rPr>
        <w:t xml:space="preserve">tous </w:t>
      </w:r>
      <w:r w:rsidR="00953B6F" w:rsidRPr="007F3E67">
        <w:rPr>
          <w:lang w:val="fr-FR"/>
        </w:rPr>
        <w:t xml:space="preserve">les </w:t>
      </w:r>
      <w:r w:rsidRPr="007F3E67">
        <w:rPr>
          <w:lang w:val="fr-FR"/>
        </w:rPr>
        <w:t>mettre au poteau d</w:t>
      </w:r>
      <w:r w:rsidR="007F3E67" w:rsidRPr="007F3E67">
        <w:rPr>
          <w:lang w:val="fr-FR"/>
        </w:rPr>
        <w:t>’</w:t>
      </w:r>
      <w:r w:rsidRPr="007F3E67">
        <w:rPr>
          <w:lang w:val="fr-FR"/>
        </w:rPr>
        <w:t>exécution »</w:t>
      </w:r>
      <w:r w:rsidR="008D27CF" w:rsidRPr="007F3E67">
        <w:rPr>
          <w:lang w:val="fr-FR"/>
        </w:rPr>
        <w:t xml:space="preserve"> ou</w:t>
      </w:r>
      <w:r w:rsidRPr="007F3E67">
        <w:rPr>
          <w:lang w:val="fr-FR"/>
        </w:rPr>
        <w:t xml:space="preserve"> « à Diaz-Pertini, les têtes faisaient un drôle de bruit quand on les cognait contre le mur ». </w:t>
      </w:r>
      <w:r w:rsidR="00B455A2" w:rsidRPr="007F3E67">
        <w:rPr>
          <w:lang w:val="fr-FR"/>
        </w:rPr>
        <w:t>À</w:t>
      </w:r>
      <w:r w:rsidRPr="007F3E67">
        <w:rPr>
          <w:lang w:val="fr-FR"/>
        </w:rPr>
        <w:t xml:space="preserve"> l</w:t>
      </w:r>
      <w:r w:rsidR="007F3E67" w:rsidRPr="007F3E67">
        <w:rPr>
          <w:lang w:val="fr-FR"/>
        </w:rPr>
        <w:t>’</w:t>
      </w:r>
      <w:r w:rsidRPr="007F3E67">
        <w:rPr>
          <w:lang w:val="fr-FR"/>
        </w:rPr>
        <w:t>intérieur de la caserne, d</w:t>
      </w:r>
      <w:r w:rsidR="007F3E67" w:rsidRPr="007F3E67">
        <w:rPr>
          <w:lang w:val="fr-FR"/>
        </w:rPr>
        <w:t>’</w:t>
      </w:r>
      <w:r w:rsidRPr="007F3E67">
        <w:rPr>
          <w:lang w:val="fr-FR"/>
        </w:rPr>
        <w:t>abord dans l</w:t>
      </w:r>
      <w:r w:rsidR="007F3E67" w:rsidRPr="007F3E67">
        <w:rPr>
          <w:lang w:val="fr-FR"/>
        </w:rPr>
        <w:t>’</w:t>
      </w:r>
      <w:r w:rsidRPr="007F3E67">
        <w:rPr>
          <w:lang w:val="fr-FR"/>
        </w:rPr>
        <w:t xml:space="preserve">entrée puis dans une cellule, elle fut contrainte de se tenir à nouveau jambes écartées et bras levés, sous la garde </w:t>
      </w:r>
      <w:r w:rsidR="008D27CF" w:rsidRPr="007F3E67">
        <w:rPr>
          <w:lang w:val="fr-FR"/>
        </w:rPr>
        <w:t>d</w:t>
      </w:r>
      <w:r w:rsidR="007F3E67" w:rsidRPr="007F3E67">
        <w:rPr>
          <w:lang w:val="fr-FR"/>
        </w:rPr>
        <w:t>’</w:t>
      </w:r>
      <w:r w:rsidRPr="007F3E67">
        <w:rPr>
          <w:lang w:val="fr-FR"/>
        </w:rPr>
        <w:t>agents qui frappaient ceux qui bougeaient. Elle entendit des cris provenant d</w:t>
      </w:r>
      <w:r w:rsidR="007F3E67" w:rsidRPr="007F3E67">
        <w:rPr>
          <w:lang w:val="fr-FR"/>
        </w:rPr>
        <w:t>’</w:t>
      </w:r>
      <w:r w:rsidRPr="007F3E67">
        <w:rPr>
          <w:lang w:val="fr-FR"/>
        </w:rPr>
        <w:t>autres cellules et vit d</w:t>
      </w:r>
      <w:r w:rsidR="007F3E67" w:rsidRPr="007F3E67">
        <w:rPr>
          <w:lang w:val="fr-FR"/>
        </w:rPr>
        <w:t>’</w:t>
      </w:r>
      <w:r w:rsidRPr="007F3E67">
        <w:rPr>
          <w:lang w:val="fr-FR"/>
        </w:rPr>
        <w:t>autres personnes avec le visage en sang. Elle dut marcher tête baissée. Lors d</w:t>
      </w:r>
      <w:r w:rsidR="007F3E67" w:rsidRPr="007F3E67">
        <w:rPr>
          <w:lang w:val="fr-FR"/>
        </w:rPr>
        <w:t>’</w:t>
      </w:r>
      <w:r w:rsidRPr="007F3E67">
        <w:rPr>
          <w:lang w:val="fr-FR"/>
        </w:rPr>
        <w:t>une visite médicale, elle dut se déshabiller devant des hommes. Un médecin l</w:t>
      </w:r>
      <w:r w:rsidR="007F3E67" w:rsidRPr="007F3E67">
        <w:rPr>
          <w:lang w:val="fr-FR"/>
        </w:rPr>
        <w:t>’</w:t>
      </w:r>
      <w:r w:rsidRPr="007F3E67">
        <w:rPr>
          <w:lang w:val="fr-FR"/>
        </w:rPr>
        <w:t>injuria et lui dit qu</w:t>
      </w:r>
      <w:r w:rsidR="007F3E67" w:rsidRPr="007F3E67">
        <w:rPr>
          <w:lang w:val="fr-FR"/>
        </w:rPr>
        <w:t>’</w:t>
      </w:r>
      <w:r w:rsidRPr="007F3E67">
        <w:rPr>
          <w:lang w:val="fr-FR"/>
        </w:rPr>
        <w:t>elle et les autres personnes arrêtées sentaient mauvais comme des chiens ; un autre homme apprécia les traces des coups de matraque qu</w:t>
      </w:r>
      <w:r w:rsidR="007F3E67" w:rsidRPr="007F3E67">
        <w:rPr>
          <w:lang w:val="fr-FR"/>
        </w:rPr>
        <w:t>’</w:t>
      </w:r>
      <w:r w:rsidRPr="007F3E67">
        <w:rPr>
          <w:lang w:val="fr-FR"/>
        </w:rPr>
        <w:t xml:space="preserve">elle avait reçus sur le cou </w:t>
      </w:r>
      <w:r w:rsidR="008D27CF" w:rsidRPr="007F3E67">
        <w:rPr>
          <w:lang w:val="fr-FR"/>
        </w:rPr>
        <w:t xml:space="preserve">en déclarant </w:t>
      </w:r>
      <w:r w:rsidRPr="007F3E67">
        <w:rPr>
          <w:lang w:val="fr-FR"/>
        </w:rPr>
        <w:t>« c</w:t>
      </w:r>
      <w:r w:rsidR="007F3E67" w:rsidRPr="007F3E67">
        <w:rPr>
          <w:lang w:val="fr-FR"/>
        </w:rPr>
        <w:t>’</w:t>
      </w:r>
      <w:r w:rsidRPr="007F3E67">
        <w:rPr>
          <w:lang w:val="fr-FR"/>
        </w:rPr>
        <w:t>est du bon travail »</w:t>
      </w:r>
      <w:r w:rsidR="008D27CF" w:rsidRPr="007F3E67">
        <w:rPr>
          <w:lang w:val="fr-FR"/>
        </w:rPr>
        <w:t xml:space="preserve"> </w:t>
      </w:r>
      <w:r w:rsidRPr="007F3E67">
        <w:rPr>
          <w:lang w:val="fr-FR"/>
        </w:rPr>
        <w:t>et fit mine de la frapper à nouveau sur le cou avec une matraque. Le 23</w:t>
      </w:r>
      <w:r w:rsidR="008D27CF" w:rsidRPr="007F3E67">
        <w:rPr>
          <w:lang w:val="fr-FR"/>
        </w:rPr>
        <w:t> </w:t>
      </w:r>
      <w:r w:rsidRPr="007F3E67">
        <w:rPr>
          <w:lang w:val="fr-FR"/>
        </w:rPr>
        <w:t>juillet, à l</w:t>
      </w:r>
      <w:r w:rsidR="007F3E67" w:rsidRPr="007F3E67">
        <w:rPr>
          <w:lang w:val="fr-FR"/>
        </w:rPr>
        <w:t>’</w:t>
      </w:r>
      <w:r w:rsidRPr="007F3E67">
        <w:rPr>
          <w:lang w:val="fr-FR"/>
        </w:rPr>
        <w:t>aube, elle fut transférée à la prison de Vercelli.</w:t>
      </w:r>
    </w:p>
    <w:p w:rsidR="00E235F1" w:rsidRPr="007F3E67" w:rsidRDefault="00E235F1" w:rsidP="007F3E67">
      <w:pPr>
        <w:pStyle w:val="ECHRPara"/>
        <w:rPr>
          <w:lang w:val="fr-FR"/>
        </w:rPr>
      </w:pPr>
      <w:r w:rsidRPr="007F3E67">
        <w:rPr>
          <w:szCs w:val="24"/>
          <w:lang w:val="fr-FR"/>
        </w:rPr>
        <w:fldChar w:fldCharType="begin"/>
      </w:r>
      <w:r w:rsidRPr="007F3E67">
        <w:rPr>
          <w:szCs w:val="24"/>
          <w:lang w:val="fr-FR"/>
        </w:rPr>
        <w:instrText xml:space="preserve"> SEQ level0 \*arabic </w:instrText>
      </w:r>
      <w:r w:rsidRPr="007F3E67">
        <w:rPr>
          <w:szCs w:val="24"/>
          <w:lang w:val="fr-FR"/>
        </w:rPr>
        <w:fldChar w:fldCharType="separate"/>
      </w:r>
      <w:r w:rsidR="007F3E67" w:rsidRPr="007F3E67">
        <w:rPr>
          <w:noProof/>
          <w:szCs w:val="24"/>
          <w:lang w:val="fr-FR"/>
        </w:rPr>
        <w:t>35</w:t>
      </w:r>
      <w:r w:rsidRPr="007F3E67">
        <w:rPr>
          <w:szCs w:val="24"/>
          <w:lang w:val="fr-FR"/>
        </w:rPr>
        <w:fldChar w:fldCharType="end"/>
      </w:r>
      <w:r w:rsidRPr="007F3E67">
        <w:rPr>
          <w:szCs w:val="24"/>
          <w:lang w:val="fr-FR"/>
        </w:rPr>
        <w:t xml:space="preserve">.  M. Lorente </w:t>
      </w:r>
      <w:r w:rsidRPr="007F3E67">
        <w:rPr>
          <w:lang w:val="fr-FR"/>
        </w:rPr>
        <w:t>fut arrêté le 20 juillet en début d</w:t>
      </w:r>
      <w:r w:rsidR="007F3E67" w:rsidRPr="007F3E67">
        <w:rPr>
          <w:lang w:val="fr-FR"/>
        </w:rPr>
        <w:t>’</w:t>
      </w:r>
      <w:r w:rsidRPr="007F3E67">
        <w:rPr>
          <w:lang w:val="fr-FR"/>
        </w:rPr>
        <w:t xml:space="preserve">après-midi, place Manin, et laissé menotté dans une camionnette de la police. </w:t>
      </w:r>
      <w:r w:rsidR="00FD3D9A" w:rsidRPr="007F3E67">
        <w:rPr>
          <w:lang w:val="fr-FR"/>
        </w:rPr>
        <w:t>À</w:t>
      </w:r>
      <w:r w:rsidRPr="007F3E67">
        <w:rPr>
          <w:lang w:val="fr-FR"/>
        </w:rPr>
        <w:t xml:space="preserve"> son arrivée à la caserne de Bolzaneto, le 20 juillet au soir, il fut contraint de rester une heure face contre </w:t>
      </w:r>
      <w:r w:rsidR="00ED25EB" w:rsidRPr="007F3E67">
        <w:rPr>
          <w:lang w:val="fr-FR"/>
        </w:rPr>
        <w:t xml:space="preserve">un </w:t>
      </w:r>
      <w:r w:rsidRPr="007F3E67">
        <w:rPr>
          <w:lang w:val="fr-FR"/>
        </w:rPr>
        <w:t>mur</w:t>
      </w:r>
      <w:r w:rsidR="00A5648B" w:rsidRPr="007F3E67">
        <w:rPr>
          <w:lang w:val="fr-FR"/>
        </w:rPr>
        <w:t>, à l</w:t>
      </w:r>
      <w:r w:rsidR="007F3E67" w:rsidRPr="007F3E67">
        <w:rPr>
          <w:lang w:val="fr-FR"/>
        </w:rPr>
        <w:t>’</w:t>
      </w:r>
      <w:r w:rsidRPr="007F3E67">
        <w:rPr>
          <w:lang w:val="fr-FR"/>
        </w:rPr>
        <w:t xml:space="preserve">extérieur, </w:t>
      </w:r>
      <w:r w:rsidR="00A5648B" w:rsidRPr="007F3E67">
        <w:rPr>
          <w:lang w:val="fr-FR"/>
        </w:rPr>
        <w:t>avant d</w:t>
      </w:r>
      <w:r w:rsidR="007F3E67" w:rsidRPr="007F3E67">
        <w:rPr>
          <w:lang w:val="fr-FR"/>
        </w:rPr>
        <w:t>’</w:t>
      </w:r>
      <w:r w:rsidR="00A5648B" w:rsidRPr="007F3E67">
        <w:rPr>
          <w:lang w:val="fr-FR"/>
        </w:rPr>
        <w:t>être</w:t>
      </w:r>
      <w:r w:rsidRPr="007F3E67">
        <w:rPr>
          <w:lang w:val="fr-FR"/>
        </w:rPr>
        <w:t xml:space="preserve"> conduit dans une cellule où, à genoux et toujours menotté, il fut passé à tabac plusieurs fois. Il fut </w:t>
      </w:r>
      <w:r w:rsidR="00A5648B" w:rsidRPr="007F3E67">
        <w:rPr>
          <w:lang w:val="fr-FR"/>
        </w:rPr>
        <w:t xml:space="preserve">aussi </w:t>
      </w:r>
      <w:r w:rsidRPr="007F3E67">
        <w:rPr>
          <w:lang w:val="fr-FR"/>
        </w:rPr>
        <w:t xml:space="preserve">frappé lors de son passage dans les couloirs. </w:t>
      </w:r>
      <w:r w:rsidR="00FD3D9A" w:rsidRPr="007F3E67">
        <w:rPr>
          <w:lang w:val="fr-FR"/>
        </w:rPr>
        <w:t>À</w:t>
      </w:r>
      <w:r w:rsidRPr="007F3E67">
        <w:rPr>
          <w:lang w:val="fr-FR"/>
        </w:rPr>
        <w:t xml:space="preserve"> l</w:t>
      </w:r>
      <w:r w:rsidR="007F3E67" w:rsidRPr="007F3E67">
        <w:rPr>
          <w:lang w:val="fr-FR"/>
        </w:rPr>
        <w:t>’</w:t>
      </w:r>
      <w:r w:rsidRPr="007F3E67">
        <w:rPr>
          <w:lang w:val="fr-FR"/>
        </w:rPr>
        <w:t>infirmerie, alors qu</w:t>
      </w:r>
      <w:r w:rsidR="007F3E67" w:rsidRPr="007F3E67">
        <w:rPr>
          <w:lang w:val="fr-FR"/>
        </w:rPr>
        <w:t>’</w:t>
      </w:r>
      <w:r w:rsidRPr="007F3E67">
        <w:rPr>
          <w:lang w:val="fr-FR"/>
        </w:rPr>
        <w:t xml:space="preserve">il </w:t>
      </w:r>
      <w:r w:rsidRPr="007F3E67">
        <w:rPr>
          <w:lang w:val="fr-FR"/>
        </w:rPr>
        <w:lastRenderedPageBreak/>
        <w:t>était allongé sur un brancard, des agents lui cassèrent une côte à coups de poing, en présence d</w:t>
      </w:r>
      <w:r w:rsidR="007F3E67" w:rsidRPr="007F3E67">
        <w:rPr>
          <w:lang w:val="fr-FR"/>
        </w:rPr>
        <w:t>’</w:t>
      </w:r>
      <w:r w:rsidRPr="007F3E67">
        <w:rPr>
          <w:lang w:val="fr-FR"/>
        </w:rPr>
        <w:t>un médecin qui l</w:t>
      </w:r>
      <w:r w:rsidR="007F3E67" w:rsidRPr="007F3E67">
        <w:rPr>
          <w:lang w:val="fr-FR"/>
        </w:rPr>
        <w:t>’</w:t>
      </w:r>
      <w:r w:rsidRPr="007F3E67">
        <w:rPr>
          <w:lang w:val="fr-FR"/>
        </w:rPr>
        <w:t xml:space="preserve">invita ironiquement à porter plainte </w:t>
      </w:r>
      <w:r w:rsidR="00A5648B" w:rsidRPr="007F3E67">
        <w:rPr>
          <w:lang w:val="fr-FR"/>
        </w:rPr>
        <w:t xml:space="preserve">pour </w:t>
      </w:r>
      <w:r w:rsidR="00ED25EB" w:rsidRPr="007F3E67">
        <w:rPr>
          <w:lang w:val="fr-FR"/>
        </w:rPr>
        <w:t>dénoncer ces mauvais traitements</w:t>
      </w:r>
      <w:r w:rsidRPr="007F3E67">
        <w:rPr>
          <w:lang w:val="fr-FR"/>
        </w:rPr>
        <w:t xml:space="preserve">. Emmené par la suite aux toilettes, on lui baissa le pantalon et on lui intima </w:t>
      </w:r>
      <w:r w:rsidR="00E80440" w:rsidRPr="007F3E67">
        <w:rPr>
          <w:lang w:val="fr-FR"/>
        </w:rPr>
        <w:t>l</w:t>
      </w:r>
      <w:r w:rsidR="007F3E67" w:rsidRPr="007F3E67">
        <w:rPr>
          <w:lang w:val="fr-FR"/>
        </w:rPr>
        <w:t>’</w:t>
      </w:r>
      <w:r w:rsidR="00E80440" w:rsidRPr="007F3E67">
        <w:rPr>
          <w:lang w:val="fr-FR"/>
        </w:rPr>
        <w:t xml:space="preserve">ordre </w:t>
      </w:r>
      <w:r w:rsidRPr="007F3E67">
        <w:rPr>
          <w:lang w:val="fr-FR"/>
        </w:rPr>
        <w:t>d</w:t>
      </w:r>
      <w:r w:rsidR="007F3E67" w:rsidRPr="007F3E67">
        <w:rPr>
          <w:lang w:val="fr-FR"/>
        </w:rPr>
        <w:t>’</w:t>
      </w:r>
      <w:r w:rsidRPr="007F3E67">
        <w:rPr>
          <w:lang w:val="fr-FR"/>
        </w:rPr>
        <w:t>uriner, le traitant d</w:t>
      </w:r>
      <w:r w:rsidR="007F3E67" w:rsidRPr="007F3E67">
        <w:rPr>
          <w:lang w:val="fr-FR"/>
        </w:rPr>
        <w:t>’</w:t>
      </w:r>
      <w:r w:rsidRPr="007F3E67">
        <w:rPr>
          <w:lang w:val="fr-FR"/>
        </w:rPr>
        <w:t>homosexuel, tandis qu</w:t>
      </w:r>
      <w:r w:rsidR="007F3E67" w:rsidRPr="007F3E67">
        <w:rPr>
          <w:lang w:val="fr-FR"/>
        </w:rPr>
        <w:t>’</w:t>
      </w:r>
      <w:r w:rsidRPr="007F3E67">
        <w:rPr>
          <w:lang w:val="fr-FR"/>
        </w:rPr>
        <w:t xml:space="preserve">un agent faisait mine de le sodomiser avec une matraque ; puis on le frappa avec celle-ci entre les jambes. Le requérant dut signer un document en partie </w:t>
      </w:r>
      <w:r w:rsidR="00E80440" w:rsidRPr="007F3E67">
        <w:rPr>
          <w:lang w:val="fr-FR"/>
        </w:rPr>
        <w:t>pré</w:t>
      </w:r>
      <w:r w:rsidRPr="007F3E67">
        <w:rPr>
          <w:lang w:val="fr-FR"/>
        </w:rPr>
        <w:t>rempli et entièrement rédigé en italien. Le 21 juillet, à l</w:t>
      </w:r>
      <w:r w:rsidR="007F3E67" w:rsidRPr="007F3E67">
        <w:rPr>
          <w:lang w:val="fr-FR"/>
        </w:rPr>
        <w:t>’</w:t>
      </w:r>
      <w:r w:rsidRPr="007F3E67">
        <w:rPr>
          <w:lang w:val="fr-FR"/>
        </w:rPr>
        <w:t>aube, il fut transféré à la prison d</w:t>
      </w:r>
      <w:r w:rsidR="007F3E67" w:rsidRPr="007F3E67">
        <w:rPr>
          <w:lang w:val="fr-FR"/>
        </w:rPr>
        <w:t>’</w:t>
      </w:r>
      <w:r w:rsidRPr="007F3E67">
        <w:rPr>
          <w:lang w:val="fr-FR"/>
        </w:rPr>
        <w:t>Alexandrie.</w:t>
      </w:r>
    </w:p>
    <w:p w:rsidR="00E235F1" w:rsidRPr="007F3E67" w:rsidRDefault="00E235F1" w:rsidP="007F3E67">
      <w:pPr>
        <w:pStyle w:val="ECHRPara"/>
        <w:rPr>
          <w:lang w:val="fr-FR"/>
        </w:rPr>
      </w:pPr>
      <w:r w:rsidRPr="007F3E67">
        <w:rPr>
          <w:szCs w:val="24"/>
          <w:lang w:val="fr-FR"/>
        </w:rPr>
        <w:fldChar w:fldCharType="begin"/>
      </w:r>
      <w:r w:rsidRPr="007F3E67">
        <w:rPr>
          <w:szCs w:val="24"/>
          <w:lang w:val="fr-FR"/>
        </w:rPr>
        <w:instrText xml:space="preserve"> SEQ level0 \*arabic </w:instrText>
      </w:r>
      <w:r w:rsidRPr="007F3E67">
        <w:rPr>
          <w:szCs w:val="24"/>
          <w:lang w:val="fr-FR"/>
        </w:rPr>
        <w:fldChar w:fldCharType="separate"/>
      </w:r>
      <w:r w:rsidR="007F3E67" w:rsidRPr="007F3E67">
        <w:rPr>
          <w:noProof/>
          <w:szCs w:val="24"/>
          <w:lang w:val="fr-FR"/>
        </w:rPr>
        <w:t>36</w:t>
      </w:r>
      <w:r w:rsidRPr="007F3E67">
        <w:rPr>
          <w:szCs w:val="24"/>
          <w:lang w:val="fr-FR"/>
        </w:rPr>
        <w:fldChar w:fldCharType="end"/>
      </w:r>
      <w:r w:rsidRPr="007F3E67">
        <w:rPr>
          <w:szCs w:val="24"/>
          <w:lang w:val="fr-FR"/>
        </w:rPr>
        <w:t xml:space="preserve">.  M. Madrazo </w:t>
      </w:r>
      <w:r w:rsidRPr="007F3E67">
        <w:rPr>
          <w:lang w:val="fr-FR"/>
        </w:rPr>
        <w:t>fut arrêté à l</w:t>
      </w:r>
      <w:r w:rsidR="007F3E67" w:rsidRPr="007F3E67">
        <w:rPr>
          <w:lang w:val="fr-FR"/>
        </w:rPr>
        <w:t>’</w:t>
      </w:r>
      <w:r w:rsidRPr="007F3E67">
        <w:rPr>
          <w:lang w:val="fr-FR"/>
        </w:rPr>
        <w:t>école Diaz-Pertini et transporté à l</w:t>
      </w:r>
      <w:r w:rsidR="007F3E67" w:rsidRPr="007F3E67">
        <w:rPr>
          <w:lang w:val="fr-FR"/>
        </w:rPr>
        <w:t>’</w:t>
      </w:r>
      <w:r w:rsidRPr="007F3E67">
        <w:rPr>
          <w:lang w:val="fr-FR"/>
        </w:rPr>
        <w:t xml:space="preserve">hôpital en raison de ses blessures. </w:t>
      </w:r>
      <w:r w:rsidR="00FD3D9A" w:rsidRPr="007F3E67">
        <w:rPr>
          <w:lang w:val="fr-FR"/>
        </w:rPr>
        <w:t>À</w:t>
      </w:r>
      <w:r w:rsidRPr="007F3E67">
        <w:rPr>
          <w:lang w:val="fr-FR"/>
        </w:rPr>
        <w:t xml:space="preserve"> son arrivée à la caserne de Bolzaneto, </w:t>
      </w:r>
      <w:r w:rsidRPr="007F3E67">
        <w:rPr>
          <w:szCs w:val="24"/>
          <w:lang w:val="fr-FR"/>
        </w:rPr>
        <w:t xml:space="preserve">le 22 juillet au soir, il fut </w:t>
      </w:r>
      <w:r w:rsidRPr="007F3E67">
        <w:rPr>
          <w:lang w:val="fr-FR"/>
        </w:rPr>
        <w:t>marqué au feutre rouge d</w:t>
      </w:r>
      <w:r w:rsidR="007F3E67" w:rsidRPr="007F3E67">
        <w:rPr>
          <w:lang w:val="fr-FR"/>
        </w:rPr>
        <w:t>’</w:t>
      </w:r>
      <w:r w:rsidRPr="007F3E67">
        <w:rPr>
          <w:lang w:val="fr-FR"/>
        </w:rPr>
        <w:t xml:space="preserve">une croix sur le visage et contraint de marcher </w:t>
      </w:r>
      <w:r w:rsidR="00762958" w:rsidRPr="007F3E67">
        <w:rPr>
          <w:lang w:val="fr-FR"/>
        </w:rPr>
        <w:t>penché</w:t>
      </w:r>
      <w:r w:rsidRPr="007F3E67">
        <w:rPr>
          <w:lang w:val="fr-FR"/>
        </w:rPr>
        <w:t xml:space="preserve"> en avant et les mains sur la nuque. Placé dans une cellule, il fut obligé de se tenir </w:t>
      </w:r>
      <w:r w:rsidR="00762958" w:rsidRPr="007F3E67">
        <w:rPr>
          <w:lang w:val="fr-FR"/>
        </w:rPr>
        <w:t xml:space="preserve">les </w:t>
      </w:r>
      <w:r w:rsidRPr="007F3E67">
        <w:rPr>
          <w:lang w:val="fr-FR"/>
        </w:rPr>
        <w:t xml:space="preserve">jambes écartées et </w:t>
      </w:r>
      <w:r w:rsidR="00762958" w:rsidRPr="007F3E67">
        <w:rPr>
          <w:lang w:val="fr-FR"/>
        </w:rPr>
        <w:t xml:space="preserve">les </w:t>
      </w:r>
      <w:r w:rsidRPr="007F3E67">
        <w:rPr>
          <w:lang w:val="fr-FR"/>
        </w:rPr>
        <w:t>bras en l</w:t>
      </w:r>
      <w:r w:rsidR="007F3E67" w:rsidRPr="007F3E67">
        <w:rPr>
          <w:lang w:val="fr-FR"/>
        </w:rPr>
        <w:t>’</w:t>
      </w:r>
      <w:r w:rsidRPr="007F3E67">
        <w:rPr>
          <w:lang w:val="fr-FR"/>
        </w:rPr>
        <w:t>air, face contre le mur. Lors de son passage dans les couloirs, il dut marcher tête baissée et passer entre des agents qui le bousculaient. Il dut dormir par terre. Il ne put prendre contact avec les autorités diplomatiques de son pays. Le matin du 23 juillet, il fut transféré dans une prison dont le nom n</w:t>
      </w:r>
      <w:r w:rsidR="007F3E67" w:rsidRPr="007F3E67">
        <w:rPr>
          <w:lang w:val="fr-FR"/>
        </w:rPr>
        <w:t>’</w:t>
      </w:r>
      <w:r w:rsidRPr="007F3E67">
        <w:rPr>
          <w:lang w:val="fr-FR"/>
        </w:rPr>
        <w:t>est pas précisé dans le dossier.</w:t>
      </w:r>
    </w:p>
    <w:p w:rsidR="00E235F1" w:rsidRPr="007F3E67" w:rsidRDefault="00E235F1" w:rsidP="007F3E67">
      <w:pPr>
        <w:pStyle w:val="ECHRPara"/>
        <w:rPr>
          <w:lang w:val="fr-FR"/>
        </w:rPr>
      </w:pPr>
      <w:r w:rsidRPr="007F3E67">
        <w:rPr>
          <w:szCs w:val="24"/>
          <w:lang w:val="fr-FR"/>
        </w:rPr>
        <w:fldChar w:fldCharType="begin"/>
      </w:r>
      <w:r w:rsidRPr="007F3E67">
        <w:rPr>
          <w:szCs w:val="24"/>
          <w:lang w:val="fr-FR"/>
        </w:rPr>
        <w:instrText xml:space="preserve"> SEQ level0 \*arabic </w:instrText>
      </w:r>
      <w:r w:rsidRPr="007F3E67">
        <w:rPr>
          <w:szCs w:val="24"/>
          <w:lang w:val="fr-FR"/>
        </w:rPr>
        <w:fldChar w:fldCharType="separate"/>
      </w:r>
      <w:r w:rsidR="007F3E67" w:rsidRPr="007F3E67">
        <w:rPr>
          <w:noProof/>
          <w:szCs w:val="24"/>
          <w:lang w:val="fr-FR"/>
        </w:rPr>
        <w:t>37</w:t>
      </w:r>
      <w:r w:rsidRPr="007F3E67">
        <w:rPr>
          <w:szCs w:val="24"/>
          <w:lang w:val="fr-FR"/>
        </w:rPr>
        <w:fldChar w:fldCharType="end"/>
      </w:r>
      <w:r w:rsidRPr="007F3E67">
        <w:rPr>
          <w:szCs w:val="24"/>
          <w:lang w:val="fr-FR"/>
        </w:rPr>
        <w:t xml:space="preserve">.  M. Nogueras Chavier </w:t>
      </w:r>
      <w:r w:rsidRPr="007F3E67">
        <w:rPr>
          <w:lang w:val="fr-FR"/>
        </w:rPr>
        <w:t>fut arrêté à l</w:t>
      </w:r>
      <w:r w:rsidR="007F3E67" w:rsidRPr="007F3E67">
        <w:rPr>
          <w:lang w:val="fr-FR"/>
        </w:rPr>
        <w:t>’</w:t>
      </w:r>
      <w:r w:rsidRPr="007F3E67">
        <w:rPr>
          <w:lang w:val="fr-FR"/>
        </w:rPr>
        <w:t>école Diaz-Pertini et transporté à l</w:t>
      </w:r>
      <w:r w:rsidR="007F3E67" w:rsidRPr="007F3E67">
        <w:rPr>
          <w:lang w:val="fr-FR"/>
        </w:rPr>
        <w:t>’</w:t>
      </w:r>
      <w:r w:rsidRPr="007F3E67">
        <w:rPr>
          <w:lang w:val="fr-FR"/>
        </w:rPr>
        <w:t>hôpital en raison d</w:t>
      </w:r>
      <w:r w:rsidR="007F3E67" w:rsidRPr="007F3E67">
        <w:rPr>
          <w:lang w:val="fr-FR"/>
        </w:rPr>
        <w:t>’</w:t>
      </w:r>
      <w:r w:rsidRPr="007F3E67">
        <w:rPr>
          <w:lang w:val="fr-FR"/>
        </w:rPr>
        <w:t xml:space="preserve">une fracture du péroné gauche. </w:t>
      </w:r>
      <w:r w:rsidR="00FD3D9A" w:rsidRPr="007F3E67">
        <w:rPr>
          <w:lang w:val="fr-FR"/>
        </w:rPr>
        <w:t>À</w:t>
      </w:r>
      <w:r w:rsidRPr="007F3E67">
        <w:rPr>
          <w:lang w:val="fr-FR"/>
        </w:rPr>
        <w:t xml:space="preserve"> son arrivée à la caserne de Bolzaneto, </w:t>
      </w:r>
      <w:r w:rsidRPr="007F3E67">
        <w:rPr>
          <w:szCs w:val="24"/>
          <w:lang w:val="fr-FR"/>
        </w:rPr>
        <w:t xml:space="preserve">le 22 juillet au soir, il fut </w:t>
      </w:r>
      <w:r w:rsidRPr="007F3E67">
        <w:rPr>
          <w:lang w:val="fr-FR"/>
        </w:rPr>
        <w:t>marqué d</w:t>
      </w:r>
      <w:r w:rsidR="007F3E67" w:rsidRPr="007F3E67">
        <w:rPr>
          <w:lang w:val="fr-FR"/>
        </w:rPr>
        <w:t>’</w:t>
      </w:r>
      <w:r w:rsidRPr="007F3E67">
        <w:rPr>
          <w:lang w:val="fr-FR"/>
        </w:rPr>
        <w:t>une croix rouge sur le visage. Placé dans une cellule avec d</w:t>
      </w:r>
      <w:r w:rsidR="007F3E67" w:rsidRPr="007F3E67">
        <w:rPr>
          <w:lang w:val="fr-FR"/>
        </w:rPr>
        <w:t>’</w:t>
      </w:r>
      <w:r w:rsidRPr="007F3E67">
        <w:rPr>
          <w:lang w:val="fr-FR"/>
        </w:rPr>
        <w:t xml:space="preserve">autres personnes arrêtées, il fut </w:t>
      </w:r>
      <w:r w:rsidR="00762958" w:rsidRPr="007F3E67">
        <w:rPr>
          <w:lang w:val="fr-FR"/>
        </w:rPr>
        <w:t>obligé</w:t>
      </w:r>
      <w:r w:rsidRPr="007F3E67">
        <w:rPr>
          <w:lang w:val="fr-FR"/>
        </w:rPr>
        <w:t>, malgré sa douleur à la jambe, de rester debout</w:t>
      </w:r>
      <w:r w:rsidR="00762958" w:rsidRPr="007F3E67">
        <w:rPr>
          <w:lang w:val="fr-FR"/>
        </w:rPr>
        <w:t>,</w:t>
      </w:r>
      <w:r w:rsidRPr="007F3E67">
        <w:rPr>
          <w:lang w:val="fr-FR"/>
        </w:rPr>
        <w:t xml:space="preserve"> d</w:t>
      </w:r>
      <w:r w:rsidR="007F3E67" w:rsidRPr="007F3E67">
        <w:rPr>
          <w:lang w:val="fr-FR"/>
        </w:rPr>
        <w:t>’</w:t>
      </w:r>
      <w:r w:rsidRPr="007F3E67">
        <w:rPr>
          <w:lang w:val="fr-FR"/>
        </w:rPr>
        <w:t>abord au centre de la cellule puis face contre le mur, jambes écartées et bras en l</w:t>
      </w:r>
      <w:r w:rsidR="007F3E67" w:rsidRPr="007F3E67">
        <w:rPr>
          <w:lang w:val="fr-FR"/>
        </w:rPr>
        <w:t>’</w:t>
      </w:r>
      <w:r w:rsidRPr="007F3E67">
        <w:rPr>
          <w:lang w:val="fr-FR"/>
        </w:rPr>
        <w:t>air, sans pouvoir s</w:t>
      </w:r>
      <w:r w:rsidR="007F3E67" w:rsidRPr="007F3E67">
        <w:rPr>
          <w:lang w:val="fr-FR"/>
        </w:rPr>
        <w:t>’</w:t>
      </w:r>
      <w:r w:rsidRPr="007F3E67">
        <w:rPr>
          <w:lang w:val="fr-FR"/>
        </w:rPr>
        <w:t xml:space="preserve">appuyer. Il reçut des injures (« salaud de communiste ») et des crachats. Il entendit </w:t>
      </w:r>
      <w:r w:rsidR="00762958" w:rsidRPr="007F3E67">
        <w:rPr>
          <w:lang w:val="fr-FR"/>
        </w:rPr>
        <w:t>l</w:t>
      </w:r>
      <w:r w:rsidRPr="007F3E67">
        <w:rPr>
          <w:lang w:val="fr-FR"/>
        </w:rPr>
        <w:t>es cris d</w:t>
      </w:r>
      <w:r w:rsidR="007F3E67" w:rsidRPr="007F3E67">
        <w:rPr>
          <w:lang w:val="fr-FR"/>
        </w:rPr>
        <w:t>’</w:t>
      </w:r>
      <w:r w:rsidRPr="007F3E67">
        <w:rPr>
          <w:lang w:val="fr-FR"/>
        </w:rPr>
        <w:t xml:space="preserve">autres personnes </w:t>
      </w:r>
      <w:r w:rsidR="00953B6F" w:rsidRPr="007F3E67">
        <w:rPr>
          <w:lang w:val="fr-FR"/>
        </w:rPr>
        <w:t xml:space="preserve">qui étaient </w:t>
      </w:r>
      <w:r w:rsidRPr="007F3E67">
        <w:rPr>
          <w:lang w:val="fr-FR"/>
        </w:rPr>
        <w:t xml:space="preserve">frappées. Lors de son passage dans les couloirs, il dut marcher tête baissée et, une fois, il reçut un coup de pied </w:t>
      </w:r>
      <w:r w:rsidR="00953B6F" w:rsidRPr="007F3E67">
        <w:rPr>
          <w:lang w:val="fr-FR"/>
        </w:rPr>
        <w:t xml:space="preserve">dans </w:t>
      </w:r>
      <w:r w:rsidRPr="007F3E67">
        <w:rPr>
          <w:lang w:val="fr-FR"/>
        </w:rPr>
        <w:t>sa jambe blessée. Il dut utiliser les toilettes sans pouvoir</w:t>
      </w:r>
      <w:r w:rsidR="00ED25EB" w:rsidRPr="007F3E67">
        <w:rPr>
          <w:lang w:val="fr-FR"/>
        </w:rPr>
        <w:t xml:space="preserve"> en</w:t>
      </w:r>
      <w:r w:rsidRPr="007F3E67">
        <w:rPr>
          <w:lang w:val="fr-FR"/>
        </w:rPr>
        <w:t xml:space="preserve"> fermer la porte. Il ne fut pas autorisé à prendre contact avec les autorités diplomatiques de son pays. Le matin du 23 juillet, il fut transféré dans une prison dont le nom n</w:t>
      </w:r>
      <w:r w:rsidR="007F3E67" w:rsidRPr="007F3E67">
        <w:rPr>
          <w:lang w:val="fr-FR"/>
        </w:rPr>
        <w:t>’</w:t>
      </w:r>
      <w:r w:rsidRPr="007F3E67">
        <w:rPr>
          <w:lang w:val="fr-FR"/>
        </w:rPr>
        <w:t>est pas précisé</w:t>
      </w:r>
      <w:r w:rsidR="00762958" w:rsidRPr="007F3E67">
        <w:rPr>
          <w:lang w:val="fr-FR"/>
        </w:rPr>
        <w:t xml:space="preserve"> dans le dossier</w:t>
      </w:r>
      <w:r w:rsidRPr="007F3E67">
        <w:rPr>
          <w:lang w:val="fr-FR"/>
        </w:rPr>
        <w:t>.</w:t>
      </w:r>
    </w:p>
    <w:p w:rsidR="00E235F1" w:rsidRPr="007F3E67" w:rsidRDefault="00E235F1" w:rsidP="007F3E67">
      <w:pPr>
        <w:pStyle w:val="ECHRPara"/>
        <w:rPr>
          <w:lang w:val="fr-FR"/>
        </w:rPr>
      </w:pPr>
      <w:r w:rsidRPr="007F3E67">
        <w:rPr>
          <w:lang w:val="fr-FR"/>
        </w:rPr>
        <w:fldChar w:fldCharType="begin"/>
      </w:r>
      <w:r w:rsidRPr="007F3E67">
        <w:rPr>
          <w:lang w:val="fr-FR"/>
        </w:rPr>
        <w:instrText xml:space="preserve"> SEQ level0 \*arabic </w:instrText>
      </w:r>
      <w:r w:rsidRPr="007F3E67">
        <w:rPr>
          <w:lang w:val="fr-FR"/>
        </w:rPr>
        <w:fldChar w:fldCharType="separate"/>
      </w:r>
      <w:r w:rsidR="007F3E67" w:rsidRPr="007F3E67">
        <w:rPr>
          <w:noProof/>
          <w:lang w:val="fr-FR"/>
        </w:rPr>
        <w:t>38</w:t>
      </w:r>
      <w:r w:rsidRPr="007F3E67">
        <w:rPr>
          <w:lang w:val="fr-FR"/>
        </w:rPr>
        <w:fldChar w:fldCharType="end"/>
      </w:r>
      <w:r w:rsidRPr="007F3E67">
        <w:rPr>
          <w:lang w:val="fr-FR"/>
        </w:rPr>
        <w:t>.  M</w:t>
      </w:r>
      <w:r w:rsidRPr="007F3E67">
        <w:rPr>
          <w:rFonts w:ascii="Times New (W1)" w:hAnsi="Times New (W1)"/>
          <w:vertAlign w:val="superscript"/>
          <w:lang w:val="fr-FR"/>
        </w:rPr>
        <w:t>me</w:t>
      </w:r>
      <w:r w:rsidRPr="007F3E67">
        <w:rPr>
          <w:szCs w:val="24"/>
          <w:lang w:val="fr-FR"/>
        </w:rPr>
        <w:t xml:space="preserve"> Ender fut arrêtée l</w:t>
      </w:r>
      <w:r w:rsidR="007F3E67" w:rsidRPr="007F3E67">
        <w:rPr>
          <w:szCs w:val="24"/>
          <w:lang w:val="fr-FR"/>
        </w:rPr>
        <w:t>’</w:t>
      </w:r>
      <w:r w:rsidRPr="007F3E67">
        <w:rPr>
          <w:szCs w:val="24"/>
          <w:lang w:val="fr-FR"/>
        </w:rPr>
        <w:t>après</w:t>
      </w:r>
      <w:r w:rsidR="007F3E67" w:rsidRPr="007F3E67">
        <w:rPr>
          <w:szCs w:val="24"/>
          <w:lang w:val="fr-FR"/>
        </w:rPr>
        <w:t>-midi du 20 juillet dans la rue Montezovetto</w:t>
      </w:r>
      <w:r w:rsidRPr="007F3E67">
        <w:rPr>
          <w:szCs w:val="24"/>
          <w:lang w:val="fr-FR"/>
        </w:rPr>
        <w:t xml:space="preserve"> et emmenée à la caserne de Bolzaneto le soir </w:t>
      </w:r>
      <w:r w:rsidR="00F1122E" w:rsidRPr="007F3E67">
        <w:rPr>
          <w:szCs w:val="24"/>
          <w:lang w:val="fr-FR"/>
        </w:rPr>
        <w:t>du même jour</w:t>
      </w:r>
      <w:r w:rsidRPr="007F3E67">
        <w:rPr>
          <w:szCs w:val="24"/>
          <w:lang w:val="fr-FR"/>
        </w:rPr>
        <w:t xml:space="preserve">. </w:t>
      </w:r>
      <w:r w:rsidR="00FD3D9A" w:rsidRPr="007F3E67">
        <w:rPr>
          <w:szCs w:val="24"/>
          <w:lang w:val="fr-FR"/>
        </w:rPr>
        <w:t>À</w:t>
      </w:r>
      <w:r w:rsidRPr="007F3E67">
        <w:rPr>
          <w:szCs w:val="24"/>
          <w:lang w:val="fr-FR"/>
        </w:rPr>
        <w:t xml:space="preserve"> son arrivée à la caserne, elle dut marcher l</w:t>
      </w:r>
      <w:r w:rsidRPr="007F3E67">
        <w:rPr>
          <w:lang w:val="fr-FR"/>
        </w:rPr>
        <w:t xml:space="preserve">es </w:t>
      </w:r>
      <w:r w:rsidR="00DE2CCF" w:rsidRPr="007F3E67">
        <w:rPr>
          <w:lang w:val="fr-FR"/>
        </w:rPr>
        <w:t xml:space="preserve">mains </w:t>
      </w:r>
      <w:r w:rsidRPr="007F3E67">
        <w:rPr>
          <w:lang w:val="fr-FR"/>
        </w:rPr>
        <w:t>lié</w:t>
      </w:r>
      <w:r w:rsidR="00DE2CCF" w:rsidRPr="007F3E67">
        <w:rPr>
          <w:lang w:val="fr-FR"/>
        </w:rPr>
        <w:t>e</w:t>
      </w:r>
      <w:r w:rsidRPr="007F3E67">
        <w:rPr>
          <w:lang w:val="fr-FR"/>
        </w:rPr>
        <w:t>s dans le dos et la tête baissée, même lors de son passage dans le couloir,</w:t>
      </w:r>
      <w:r w:rsidRPr="007F3E67">
        <w:rPr>
          <w:szCs w:val="24"/>
          <w:lang w:val="fr-FR"/>
        </w:rPr>
        <w:t xml:space="preserve"> où elle fut frappée à coups de pied. Conduite dans une cellule avec M</w:t>
      </w:r>
      <w:r w:rsidRPr="007F3E67">
        <w:rPr>
          <w:szCs w:val="24"/>
          <w:vertAlign w:val="superscript"/>
          <w:lang w:val="fr-FR"/>
        </w:rPr>
        <w:t>me</w:t>
      </w:r>
      <w:r w:rsidRPr="007F3E67">
        <w:rPr>
          <w:szCs w:val="24"/>
          <w:lang w:val="fr-FR"/>
        </w:rPr>
        <w:t xml:space="preserve"> Percivati</w:t>
      </w:r>
      <w:r w:rsidR="006F73F3" w:rsidRPr="007F3E67">
        <w:rPr>
          <w:szCs w:val="24"/>
          <w:lang w:val="fr-FR"/>
        </w:rPr>
        <w:t xml:space="preserve"> (requérante</w:t>
      </w:r>
      <w:r w:rsidR="004F1D6E" w:rsidRPr="007F3E67">
        <w:rPr>
          <w:szCs w:val="24"/>
          <w:lang w:val="fr-FR"/>
        </w:rPr>
        <w:t xml:space="preserve"> de la requête n</w:t>
      </w:r>
      <w:r w:rsidR="005B1238" w:rsidRPr="007F3E67">
        <w:rPr>
          <w:szCs w:val="24"/>
          <w:vertAlign w:val="superscript"/>
          <w:lang w:val="fr-FR"/>
        </w:rPr>
        <w:t>o</w:t>
      </w:r>
      <w:r w:rsidR="004F1D6E" w:rsidRPr="007F3E67">
        <w:rPr>
          <w:szCs w:val="24"/>
          <w:lang w:val="fr-FR"/>
        </w:rPr>
        <w:t xml:space="preserve"> 6</w:t>
      </w:r>
      <w:r w:rsidR="002A4D07" w:rsidRPr="007F3E67">
        <w:rPr>
          <w:szCs w:val="24"/>
          <w:lang w:val="fr-FR"/>
        </w:rPr>
        <w:t>7599/10</w:t>
      </w:r>
      <w:r w:rsidR="006F73F3" w:rsidRPr="007F3E67">
        <w:rPr>
          <w:szCs w:val="24"/>
          <w:lang w:val="fr-FR"/>
        </w:rPr>
        <w:t xml:space="preserve"> figurant sous le numéro 18 dans la liste en annexe)</w:t>
      </w:r>
      <w:r w:rsidRPr="007F3E67">
        <w:rPr>
          <w:szCs w:val="24"/>
          <w:lang w:val="fr-FR"/>
        </w:rPr>
        <w:t xml:space="preserve">, elle fut obligée de rester à genoux face </w:t>
      </w:r>
      <w:r w:rsidR="00953B6F" w:rsidRPr="007F3E67">
        <w:rPr>
          <w:szCs w:val="24"/>
          <w:lang w:val="fr-FR"/>
        </w:rPr>
        <w:t>au</w:t>
      </w:r>
      <w:r w:rsidRPr="007F3E67">
        <w:rPr>
          <w:szCs w:val="24"/>
          <w:lang w:val="fr-FR"/>
        </w:rPr>
        <w:t xml:space="preserve"> mur et fut l</w:t>
      </w:r>
      <w:r w:rsidR="007F3E67" w:rsidRPr="007F3E67">
        <w:rPr>
          <w:szCs w:val="24"/>
          <w:lang w:val="fr-FR"/>
        </w:rPr>
        <w:t>’</w:t>
      </w:r>
      <w:r w:rsidRPr="007F3E67">
        <w:rPr>
          <w:szCs w:val="24"/>
          <w:lang w:val="fr-FR"/>
        </w:rPr>
        <w:t>objet d</w:t>
      </w:r>
      <w:r w:rsidR="007F3E67" w:rsidRPr="007F3E67">
        <w:rPr>
          <w:szCs w:val="24"/>
          <w:lang w:val="fr-FR"/>
        </w:rPr>
        <w:t>’</w:t>
      </w:r>
      <w:r w:rsidRPr="007F3E67">
        <w:rPr>
          <w:szCs w:val="24"/>
          <w:lang w:val="fr-FR"/>
        </w:rPr>
        <w:t>injures qui, comme le lui expliqua M</w:t>
      </w:r>
      <w:r w:rsidRPr="007F3E67">
        <w:rPr>
          <w:szCs w:val="24"/>
          <w:vertAlign w:val="superscript"/>
          <w:lang w:val="fr-FR"/>
        </w:rPr>
        <w:t>me</w:t>
      </w:r>
      <w:r w:rsidRPr="007F3E67">
        <w:rPr>
          <w:szCs w:val="24"/>
          <w:lang w:val="fr-FR"/>
        </w:rPr>
        <w:t xml:space="preserve"> Percivati, étaient à caractère sexuel. </w:t>
      </w:r>
      <w:r w:rsidR="00DE2CCF" w:rsidRPr="007F3E67">
        <w:rPr>
          <w:szCs w:val="24"/>
          <w:lang w:val="fr-FR"/>
        </w:rPr>
        <w:t>M</w:t>
      </w:r>
      <w:r w:rsidR="00DE2CCF" w:rsidRPr="007F3E67">
        <w:rPr>
          <w:szCs w:val="24"/>
          <w:vertAlign w:val="superscript"/>
          <w:lang w:val="fr-FR"/>
        </w:rPr>
        <w:t>me</w:t>
      </w:r>
      <w:r w:rsidR="00DE2CCF" w:rsidRPr="007F3E67">
        <w:rPr>
          <w:szCs w:val="24"/>
          <w:lang w:val="fr-FR"/>
        </w:rPr>
        <w:t xml:space="preserve"> Ender </w:t>
      </w:r>
      <w:r w:rsidRPr="007F3E67">
        <w:rPr>
          <w:szCs w:val="24"/>
          <w:lang w:val="fr-FR"/>
        </w:rPr>
        <w:t>demanda plusieurs fois à pouvoir se rendre aux toilettes, en vain, car on lui rétorqua, par l</w:t>
      </w:r>
      <w:r w:rsidR="007F3E67" w:rsidRPr="007F3E67">
        <w:rPr>
          <w:szCs w:val="24"/>
          <w:lang w:val="fr-FR"/>
        </w:rPr>
        <w:t>’</w:t>
      </w:r>
      <w:r w:rsidRPr="007F3E67">
        <w:rPr>
          <w:szCs w:val="24"/>
          <w:lang w:val="fr-FR"/>
        </w:rPr>
        <w:t>intermédiaire de M</w:t>
      </w:r>
      <w:r w:rsidRPr="007F3E67">
        <w:rPr>
          <w:szCs w:val="24"/>
          <w:vertAlign w:val="superscript"/>
          <w:lang w:val="fr-FR"/>
        </w:rPr>
        <w:t>me</w:t>
      </w:r>
      <w:r w:rsidRPr="007F3E67">
        <w:rPr>
          <w:szCs w:val="24"/>
          <w:lang w:val="fr-FR"/>
        </w:rPr>
        <w:t xml:space="preserve"> Percivati, qu</w:t>
      </w:r>
      <w:r w:rsidR="007F3E67" w:rsidRPr="007F3E67">
        <w:rPr>
          <w:szCs w:val="24"/>
          <w:lang w:val="fr-FR"/>
        </w:rPr>
        <w:t>’</w:t>
      </w:r>
      <w:r w:rsidRPr="007F3E67">
        <w:rPr>
          <w:szCs w:val="24"/>
          <w:lang w:val="fr-FR"/>
        </w:rPr>
        <w:t>elle n</w:t>
      </w:r>
      <w:r w:rsidR="007F3E67" w:rsidRPr="007F3E67">
        <w:rPr>
          <w:szCs w:val="24"/>
          <w:lang w:val="fr-FR"/>
        </w:rPr>
        <w:t>’</w:t>
      </w:r>
      <w:r w:rsidRPr="007F3E67">
        <w:rPr>
          <w:szCs w:val="24"/>
          <w:lang w:val="fr-FR"/>
        </w:rPr>
        <w:t>avait qu</w:t>
      </w:r>
      <w:r w:rsidR="007F3E67" w:rsidRPr="007F3E67">
        <w:rPr>
          <w:szCs w:val="24"/>
          <w:lang w:val="fr-FR"/>
        </w:rPr>
        <w:t>’</w:t>
      </w:r>
      <w:r w:rsidRPr="007F3E67">
        <w:rPr>
          <w:szCs w:val="24"/>
          <w:lang w:val="fr-FR"/>
        </w:rPr>
        <w:t>à « faire tout sur elle ». On finit par l</w:t>
      </w:r>
      <w:r w:rsidR="007F3E67" w:rsidRPr="007F3E67">
        <w:rPr>
          <w:szCs w:val="24"/>
          <w:lang w:val="fr-FR"/>
        </w:rPr>
        <w:t>’</w:t>
      </w:r>
      <w:r w:rsidRPr="007F3E67">
        <w:rPr>
          <w:szCs w:val="24"/>
          <w:lang w:val="fr-FR"/>
        </w:rPr>
        <w:t>emmener aux toilettes, la frappant lors de son passage dans le couloir, à l</w:t>
      </w:r>
      <w:r w:rsidR="007F3E67" w:rsidRPr="007F3E67">
        <w:rPr>
          <w:szCs w:val="24"/>
          <w:lang w:val="fr-FR"/>
        </w:rPr>
        <w:t>’</w:t>
      </w:r>
      <w:r w:rsidRPr="007F3E67">
        <w:rPr>
          <w:szCs w:val="24"/>
          <w:lang w:val="fr-FR"/>
        </w:rPr>
        <w:t xml:space="preserve">aller comme au retour. Dans les toilettes, une agente </w:t>
      </w:r>
      <w:r w:rsidRPr="007F3E67">
        <w:rPr>
          <w:lang w:val="fr-FR"/>
        </w:rPr>
        <w:t xml:space="preserve">lui cogna la tête contre le mur, puis un agent lui </w:t>
      </w:r>
      <w:r w:rsidRPr="007F3E67">
        <w:rPr>
          <w:lang w:val="fr-FR"/>
        </w:rPr>
        <w:lastRenderedPageBreak/>
        <w:t>ordonna de se laver les mains et la frappa à coups de pied sur les fesses. Dans la nuit du 20 au 21 juillet, toujours à l</w:t>
      </w:r>
      <w:r w:rsidR="007F3E67" w:rsidRPr="007F3E67">
        <w:rPr>
          <w:lang w:val="fr-FR"/>
        </w:rPr>
        <w:t>’</w:t>
      </w:r>
      <w:r w:rsidRPr="007F3E67">
        <w:rPr>
          <w:lang w:val="fr-FR"/>
        </w:rPr>
        <w:t>intérieur de la caserne, elle fut emmenée dans un bureau où on lui demanda si elle était enceinte</w:t>
      </w:r>
      <w:r w:rsidR="00FD3D9A" w:rsidRPr="007F3E67">
        <w:rPr>
          <w:lang w:val="fr-FR"/>
        </w:rPr>
        <w:t>. À</w:t>
      </w:r>
      <w:r w:rsidRPr="007F3E67">
        <w:rPr>
          <w:lang w:val="fr-FR"/>
        </w:rPr>
        <w:t xml:space="preserve"> la suite de sa réponse négative, un agent lui donna un coup de poing dans le ventre ; ensuite, des agents la rouèrent de coups à plusieurs reprises et lui coupèrent trois mèches de cheveux pour la contraindre à signer des documents. Avant d</w:t>
      </w:r>
      <w:r w:rsidR="007F3E67" w:rsidRPr="007F3E67">
        <w:rPr>
          <w:lang w:val="fr-FR"/>
        </w:rPr>
        <w:t>’</w:t>
      </w:r>
      <w:r w:rsidRPr="007F3E67">
        <w:rPr>
          <w:lang w:val="fr-FR"/>
        </w:rPr>
        <w:t>être transférée à la prison d</w:t>
      </w:r>
      <w:r w:rsidR="007F3E67" w:rsidRPr="007F3E67">
        <w:rPr>
          <w:lang w:val="fr-FR"/>
        </w:rPr>
        <w:t>’</w:t>
      </w:r>
      <w:r w:rsidRPr="007F3E67">
        <w:rPr>
          <w:lang w:val="fr-FR"/>
        </w:rPr>
        <w:t>Alexandrie, le 21 juillet à l</w:t>
      </w:r>
      <w:r w:rsidR="007F3E67" w:rsidRPr="007F3E67">
        <w:rPr>
          <w:lang w:val="fr-FR"/>
        </w:rPr>
        <w:t>’</w:t>
      </w:r>
      <w:r w:rsidRPr="007F3E67">
        <w:rPr>
          <w:lang w:val="fr-FR"/>
        </w:rPr>
        <w:t xml:space="preserve">aube, elle dut rester dans le couloir </w:t>
      </w:r>
      <w:r w:rsidR="00DE2CCF" w:rsidRPr="007F3E67">
        <w:rPr>
          <w:lang w:val="fr-FR"/>
        </w:rPr>
        <w:t xml:space="preserve">dans une </w:t>
      </w:r>
      <w:r w:rsidRPr="007F3E67">
        <w:rPr>
          <w:lang w:val="fr-FR"/>
        </w:rPr>
        <w:t>position vexatoire, des agents lui ordonnant de crier</w:t>
      </w:r>
      <w:r w:rsidR="00DE2CCF" w:rsidRPr="007F3E67">
        <w:rPr>
          <w:lang w:val="fr-FR"/>
        </w:rPr>
        <w:t xml:space="preserve"> </w:t>
      </w:r>
      <w:r w:rsidRPr="007F3E67">
        <w:rPr>
          <w:lang w:val="fr-FR"/>
        </w:rPr>
        <w:t xml:space="preserve">« vive le </w:t>
      </w:r>
      <w:r w:rsidR="00DE2CCF" w:rsidRPr="007F3E67">
        <w:rPr>
          <w:lang w:val="fr-FR"/>
        </w:rPr>
        <w:t>D</w:t>
      </w:r>
      <w:r w:rsidRPr="007F3E67">
        <w:rPr>
          <w:lang w:val="fr-FR"/>
        </w:rPr>
        <w:t>uce, vive le fascisme, vive la police pénitentiaire ».</w:t>
      </w:r>
    </w:p>
    <w:p w:rsidR="00E235F1" w:rsidRPr="007F3E67" w:rsidRDefault="00E235F1" w:rsidP="007F3E67">
      <w:pPr>
        <w:pStyle w:val="ECHRPara"/>
        <w:rPr>
          <w:lang w:val="fr-FR"/>
        </w:rPr>
      </w:pPr>
      <w:r w:rsidRPr="007F3E67">
        <w:rPr>
          <w:szCs w:val="24"/>
          <w:lang w:val="fr-FR"/>
        </w:rPr>
        <w:fldChar w:fldCharType="begin"/>
      </w:r>
      <w:r w:rsidRPr="007F3E67">
        <w:rPr>
          <w:szCs w:val="24"/>
          <w:lang w:val="fr-FR"/>
        </w:rPr>
        <w:instrText xml:space="preserve"> SEQ level0 \*arabic </w:instrText>
      </w:r>
      <w:r w:rsidRPr="007F3E67">
        <w:rPr>
          <w:szCs w:val="24"/>
          <w:lang w:val="fr-FR"/>
        </w:rPr>
        <w:fldChar w:fldCharType="separate"/>
      </w:r>
      <w:r w:rsidR="007F3E67" w:rsidRPr="007F3E67">
        <w:rPr>
          <w:noProof/>
          <w:szCs w:val="24"/>
          <w:lang w:val="fr-FR"/>
        </w:rPr>
        <w:t>39</w:t>
      </w:r>
      <w:r w:rsidRPr="007F3E67">
        <w:rPr>
          <w:szCs w:val="24"/>
          <w:lang w:val="fr-FR"/>
        </w:rPr>
        <w:fldChar w:fldCharType="end"/>
      </w:r>
      <w:r w:rsidRPr="007F3E67">
        <w:rPr>
          <w:szCs w:val="24"/>
          <w:lang w:val="fr-FR"/>
        </w:rPr>
        <w:t>.  M. Graf fut arrêté et roué de coups l</w:t>
      </w:r>
      <w:r w:rsidR="007F3E67" w:rsidRPr="007F3E67">
        <w:rPr>
          <w:szCs w:val="24"/>
          <w:lang w:val="fr-FR"/>
        </w:rPr>
        <w:t>’</w:t>
      </w:r>
      <w:r w:rsidRPr="007F3E67">
        <w:rPr>
          <w:szCs w:val="24"/>
          <w:lang w:val="fr-FR"/>
        </w:rPr>
        <w:t>après-midi du 20 juillet, près de la rue Tolemaide, alors qu</w:t>
      </w:r>
      <w:r w:rsidR="007F3E67" w:rsidRPr="007F3E67">
        <w:rPr>
          <w:szCs w:val="24"/>
          <w:lang w:val="fr-FR"/>
        </w:rPr>
        <w:t>’</w:t>
      </w:r>
      <w:r w:rsidRPr="007F3E67">
        <w:rPr>
          <w:szCs w:val="24"/>
          <w:lang w:val="fr-FR"/>
        </w:rPr>
        <w:t xml:space="preserve">il portait un </w:t>
      </w:r>
      <w:r w:rsidR="002E214E" w:rsidRPr="007F3E67">
        <w:rPr>
          <w:szCs w:val="24"/>
          <w:lang w:val="fr-FR"/>
        </w:rPr>
        <w:t>T</w:t>
      </w:r>
      <w:r w:rsidRPr="007F3E67">
        <w:rPr>
          <w:szCs w:val="24"/>
          <w:lang w:val="fr-FR"/>
        </w:rPr>
        <w:t>-shirt avec l</w:t>
      </w:r>
      <w:r w:rsidR="007F3E67" w:rsidRPr="007F3E67">
        <w:rPr>
          <w:szCs w:val="24"/>
          <w:lang w:val="fr-FR"/>
        </w:rPr>
        <w:t>’</w:t>
      </w:r>
      <w:r w:rsidRPr="007F3E67">
        <w:rPr>
          <w:szCs w:val="24"/>
          <w:lang w:val="fr-FR"/>
        </w:rPr>
        <w:t>emblème de la Croix</w:t>
      </w:r>
      <w:r w:rsidR="009206B2" w:rsidRPr="007F3E67">
        <w:rPr>
          <w:szCs w:val="24"/>
          <w:lang w:val="fr-FR"/>
        </w:rPr>
        <w:noBreakHyphen/>
      </w:r>
      <w:r w:rsidRPr="007F3E67">
        <w:rPr>
          <w:szCs w:val="24"/>
          <w:lang w:val="fr-FR"/>
        </w:rPr>
        <w:t>Rouge car il aidait les médecins sur place en tant qu</w:t>
      </w:r>
      <w:r w:rsidR="007F3E67" w:rsidRPr="007F3E67">
        <w:rPr>
          <w:szCs w:val="24"/>
          <w:lang w:val="fr-FR"/>
        </w:rPr>
        <w:t>’</w:t>
      </w:r>
      <w:r w:rsidRPr="007F3E67">
        <w:rPr>
          <w:szCs w:val="24"/>
          <w:lang w:val="fr-FR"/>
        </w:rPr>
        <w:t xml:space="preserve">infirmier ; malgré ses nombreuses blessures, il fut emmené directement à la caserne de Bolzaneto. </w:t>
      </w:r>
      <w:r w:rsidR="002E214E" w:rsidRPr="007F3E67">
        <w:rPr>
          <w:szCs w:val="24"/>
          <w:lang w:val="fr-FR"/>
        </w:rPr>
        <w:t>À</w:t>
      </w:r>
      <w:r w:rsidRPr="007F3E67">
        <w:rPr>
          <w:szCs w:val="24"/>
          <w:lang w:val="fr-FR"/>
        </w:rPr>
        <w:t xml:space="preserve"> son arrivée</w:t>
      </w:r>
      <w:r w:rsidR="002E214E" w:rsidRPr="007F3E67">
        <w:rPr>
          <w:szCs w:val="24"/>
          <w:lang w:val="fr-FR"/>
        </w:rPr>
        <w:t xml:space="preserve"> à la caserne</w:t>
      </w:r>
      <w:r w:rsidRPr="007F3E67">
        <w:rPr>
          <w:szCs w:val="24"/>
          <w:lang w:val="fr-FR"/>
        </w:rPr>
        <w:t>, il ne fut pas soumis immédiatement à une visite médicale</w:t>
      </w:r>
      <w:r w:rsidR="00953B6F" w:rsidRPr="007F3E67">
        <w:rPr>
          <w:szCs w:val="24"/>
          <w:lang w:val="fr-FR"/>
        </w:rPr>
        <w:t>,</w:t>
      </w:r>
      <w:r w:rsidRPr="007F3E67">
        <w:rPr>
          <w:szCs w:val="24"/>
          <w:lang w:val="fr-FR"/>
        </w:rPr>
        <w:t xml:space="preserve"> alors qu</w:t>
      </w:r>
      <w:r w:rsidR="007F3E67" w:rsidRPr="007F3E67">
        <w:rPr>
          <w:szCs w:val="24"/>
          <w:lang w:val="fr-FR"/>
        </w:rPr>
        <w:t>’</w:t>
      </w:r>
      <w:r w:rsidRPr="007F3E67">
        <w:rPr>
          <w:szCs w:val="24"/>
          <w:lang w:val="fr-FR"/>
        </w:rPr>
        <w:t>il boitait fortement. Il fut conduit dans une cellule par un couloir où on le fit passer entre deux rangées d</w:t>
      </w:r>
      <w:r w:rsidR="007F3E67" w:rsidRPr="007F3E67">
        <w:rPr>
          <w:szCs w:val="24"/>
          <w:lang w:val="fr-FR"/>
        </w:rPr>
        <w:t>’</w:t>
      </w:r>
      <w:r w:rsidRPr="007F3E67">
        <w:rPr>
          <w:szCs w:val="24"/>
          <w:lang w:val="fr-FR"/>
        </w:rPr>
        <w:t>agents qui l</w:t>
      </w:r>
      <w:r w:rsidR="007F3E67" w:rsidRPr="007F3E67">
        <w:rPr>
          <w:szCs w:val="24"/>
          <w:lang w:val="fr-FR"/>
        </w:rPr>
        <w:t>’</w:t>
      </w:r>
      <w:r w:rsidRPr="007F3E67">
        <w:rPr>
          <w:szCs w:val="24"/>
          <w:lang w:val="fr-FR"/>
        </w:rPr>
        <w:t>insultèrent, le pincèrent et lui firent des croche-pieds. Dans la cellule, il dut</w:t>
      </w:r>
      <w:r w:rsidRPr="007F3E67">
        <w:rPr>
          <w:lang w:val="fr-FR"/>
        </w:rPr>
        <w:t xml:space="preserve"> se tenir jambes écartées et bras en l</w:t>
      </w:r>
      <w:r w:rsidR="007F3E67" w:rsidRPr="007F3E67">
        <w:rPr>
          <w:lang w:val="fr-FR"/>
        </w:rPr>
        <w:t>’</w:t>
      </w:r>
      <w:r w:rsidRPr="007F3E67">
        <w:rPr>
          <w:lang w:val="fr-FR"/>
        </w:rPr>
        <w:t xml:space="preserve">air, face </w:t>
      </w:r>
      <w:r w:rsidR="00953B6F" w:rsidRPr="007F3E67">
        <w:rPr>
          <w:lang w:val="fr-FR"/>
        </w:rPr>
        <w:t>au</w:t>
      </w:r>
      <w:r w:rsidRPr="007F3E67">
        <w:rPr>
          <w:lang w:val="fr-FR"/>
        </w:rPr>
        <w:t xml:space="preserve"> mur</w:t>
      </w:r>
      <w:r w:rsidR="002E214E" w:rsidRPr="007F3E67">
        <w:rPr>
          <w:lang w:val="fr-FR"/>
        </w:rPr>
        <w:t>. L</w:t>
      </w:r>
      <w:r w:rsidR="007F3E67" w:rsidRPr="007F3E67">
        <w:rPr>
          <w:lang w:val="fr-FR"/>
        </w:rPr>
        <w:t>’</w:t>
      </w:r>
      <w:r w:rsidR="002E214E" w:rsidRPr="007F3E67">
        <w:rPr>
          <w:lang w:val="fr-FR"/>
        </w:rPr>
        <w:t xml:space="preserve">intéressé </w:t>
      </w:r>
      <w:r w:rsidRPr="007F3E67">
        <w:rPr>
          <w:lang w:val="fr-FR"/>
        </w:rPr>
        <w:t>n</w:t>
      </w:r>
      <w:r w:rsidR="007F3E67" w:rsidRPr="007F3E67">
        <w:rPr>
          <w:lang w:val="fr-FR"/>
        </w:rPr>
        <w:t>’</w:t>
      </w:r>
      <w:r w:rsidRPr="007F3E67">
        <w:rPr>
          <w:lang w:val="fr-FR"/>
        </w:rPr>
        <w:t>ayant pas obtempéré à l</w:t>
      </w:r>
      <w:r w:rsidR="007F3E67" w:rsidRPr="007F3E67">
        <w:rPr>
          <w:lang w:val="fr-FR"/>
        </w:rPr>
        <w:t>’</w:t>
      </w:r>
      <w:r w:rsidRPr="007F3E67">
        <w:rPr>
          <w:lang w:val="fr-FR"/>
        </w:rPr>
        <w:t>ordre qui lui avait été donné de se placer au centre de la cellule, un agent dit à ses collègues de l</w:t>
      </w:r>
      <w:r w:rsidR="007F3E67" w:rsidRPr="007F3E67">
        <w:rPr>
          <w:lang w:val="fr-FR"/>
        </w:rPr>
        <w:t>’</w:t>
      </w:r>
      <w:r w:rsidRPr="007F3E67">
        <w:rPr>
          <w:lang w:val="fr-FR"/>
        </w:rPr>
        <w:t xml:space="preserve">emmener ailleurs, </w:t>
      </w:r>
      <w:r w:rsidR="00ED25EB" w:rsidRPr="007F3E67">
        <w:rPr>
          <w:lang w:val="fr-FR"/>
        </w:rPr>
        <w:t xml:space="preserve">faute de quoi </w:t>
      </w:r>
      <w:r w:rsidRPr="007F3E67">
        <w:rPr>
          <w:lang w:val="fr-FR"/>
        </w:rPr>
        <w:t>il lui « casserait la gueule ». Enfin soumis à une visite médicale, le requérant fit état de fortes douleurs aux testicules, qui présentaient un hématome important ; le médecin ordonna de l</w:t>
      </w:r>
      <w:r w:rsidR="007F3E67" w:rsidRPr="007F3E67">
        <w:rPr>
          <w:lang w:val="fr-FR"/>
        </w:rPr>
        <w:t>’</w:t>
      </w:r>
      <w:r w:rsidRPr="007F3E67">
        <w:rPr>
          <w:lang w:val="fr-FR"/>
        </w:rPr>
        <w:t>emmener à l</w:t>
      </w:r>
      <w:r w:rsidR="007F3E67" w:rsidRPr="007F3E67">
        <w:rPr>
          <w:lang w:val="fr-FR"/>
        </w:rPr>
        <w:t>’</w:t>
      </w:r>
      <w:r w:rsidRPr="007F3E67">
        <w:rPr>
          <w:lang w:val="fr-FR"/>
        </w:rPr>
        <w:t>hôpital, ce qui ne fut fait qu</w:t>
      </w:r>
      <w:r w:rsidR="007F3E67" w:rsidRPr="007F3E67">
        <w:rPr>
          <w:lang w:val="fr-FR"/>
        </w:rPr>
        <w:t>’</w:t>
      </w:r>
      <w:r w:rsidRPr="007F3E67">
        <w:rPr>
          <w:lang w:val="fr-FR"/>
        </w:rPr>
        <w:t>après une nouvelle période d</w:t>
      </w:r>
      <w:r w:rsidR="007F3E67" w:rsidRPr="007F3E67">
        <w:rPr>
          <w:lang w:val="fr-FR"/>
        </w:rPr>
        <w:t>’</w:t>
      </w:r>
      <w:r w:rsidRPr="007F3E67">
        <w:rPr>
          <w:lang w:val="fr-FR"/>
        </w:rPr>
        <w:t xml:space="preserve">attente dans la cellule où il dut rester encore une fois </w:t>
      </w:r>
      <w:r w:rsidR="002E214E" w:rsidRPr="007F3E67">
        <w:rPr>
          <w:lang w:val="fr-FR"/>
        </w:rPr>
        <w:t xml:space="preserve">dans une </w:t>
      </w:r>
      <w:r w:rsidRPr="007F3E67">
        <w:rPr>
          <w:lang w:val="fr-FR"/>
        </w:rPr>
        <w:t>position vexatoire.</w:t>
      </w:r>
    </w:p>
    <w:p w:rsidR="00E235F1" w:rsidRPr="007F3E67" w:rsidRDefault="00E235F1" w:rsidP="007F3E67">
      <w:pPr>
        <w:pStyle w:val="ECHRPara"/>
        <w:rPr>
          <w:lang w:val="fr-FR"/>
        </w:rPr>
      </w:pPr>
      <w:r w:rsidRPr="007F3E67">
        <w:rPr>
          <w:szCs w:val="24"/>
          <w:lang w:val="fr-FR"/>
        </w:rPr>
        <w:fldChar w:fldCharType="begin"/>
      </w:r>
      <w:r w:rsidRPr="007F3E67">
        <w:rPr>
          <w:szCs w:val="24"/>
          <w:lang w:val="fr-FR"/>
        </w:rPr>
        <w:instrText xml:space="preserve"> SEQ level0 \*arabic </w:instrText>
      </w:r>
      <w:r w:rsidRPr="007F3E67">
        <w:rPr>
          <w:szCs w:val="24"/>
          <w:lang w:val="fr-FR"/>
        </w:rPr>
        <w:fldChar w:fldCharType="separate"/>
      </w:r>
      <w:r w:rsidR="007F3E67" w:rsidRPr="007F3E67">
        <w:rPr>
          <w:noProof/>
          <w:szCs w:val="24"/>
          <w:lang w:val="fr-FR"/>
        </w:rPr>
        <w:t>40</w:t>
      </w:r>
      <w:r w:rsidRPr="007F3E67">
        <w:rPr>
          <w:szCs w:val="24"/>
          <w:lang w:val="fr-FR"/>
        </w:rPr>
        <w:fldChar w:fldCharType="end"/>
      </w:r>
      <w:r w:rsidRPr="007F3E67">
        <w:rPr>
          <w:szCs w:val="24"/>
          <w:lang w:val="fr-FR"/>
        </w:rPr>
        <w:t>.  M. Larroquelle fut arrêté l</w:t>
      </w:r>
      <w:r w:rsidR="007F3E67" w:rsidRPr="007F3E67">
        <w:rPr>
          <w:szCs w:val="24"/>
          <w:lang w:val="fr-FR"/>
        </w:rPr>
        <w:t>’</w:t>
      </w:r>
      <w:r w:rsidRPr="007F3E67">
        <w:rPr>
          <w:szCs w:val="24"/>
          <w:lang w:val="fr-FR"/>
        </w:rPr>
        <w:t xml:space="preserve">après-midi du 20 juillet, dans la </w:t>
      </w:r>
      <w:r w:rsidR="007F3E67" w:rsidRPr="007F3E67">
        <w:rPr>
          <w:szCs w:val="24"/>
          <w:lang w:val="fr-FR"/>
        </w:rPr>
        <w:t>rue Montezovetto</w:t>
      </w:r>
      <w:r w:rsidRPr="007F3E67">
        <w:rPr>
          <w:szCs w:val="24"/>
          <w:lang w:val="fr-FR"/>
        </w:rPr>
        <w:t xml:space="preserve">, et emmené à la caserne de Bolzaneto le soir </w:t>
      </w:r>
      <w:r w:rsidR="00F1122E" w:rsidRPr="007F3E67">
        <w:rPr>
          <w:szCs w:val="24"/>
          <w:lang w:val="fr-FR"/>
        </w:rPr>
        <w:t>du même jour</w:t>
      </w:r>
      <w:r w:rsidRPr="007F3E67">
        <w:rPr>
          <w:szCs w:val="24"/>
          <w:lang w:val="fr-FR"/>
        </w:rPr>
        <w:t xml:space="preserve">. </w:t>
      </w:r>
      <w:r w:rsidR="00744533" w:rsidRPr="007F3E67">
        <w:rPr>
          <w:szCs w:val="24"/>
          <w:lang w:val="fr-FR"/>
        </w:rPr>
        <w:t>À</w:t>
      </w:r>
      <w:r w:rsidRPr="007F3E67">
        <w:rPr>
          <w:szCs w:val="24"/>
          <w:lang w:val="fr-FR"/>
        </w:rPr>
        <w:t xml:space="preserve"> son arrivée à la caserne, il fut poussé</w:t>
      </w:r>
      <w:r w:rsidR="00352E9D" w:rsidRPr="007F3E67">
        <w:rPr>
          <w:szCs w:val="24"/>
          <w:lang w:val="fr-FR"/>
        </w:rPr>
        <w:t xml:space="preserve"> hors de la camionnette alors qu</w:t>
      </w:r>
      <w:r w:rsidR="007F3E67" w:rsidRPr="007F3E67">
        <w:rPr>
          <w:szCs w:val="24"/>
          <w:lang w:val="fr-FR"/>
        </w:rPr>
        <w:t>’</w:t>
      </w:r>
      <w:r w:rsidR="00352E9D" w:rsidRPr="007F3E67">
        <w:rPr>
          <w:szCs w:val="24"/>
          <w:lang w:val="fr-FR"/>
        </w:rPr>
        <w:t>il avait</w:t>
      </w:r>
      <w:r w:rsidRPr="007F3E67">
        <w:rPr>
          <w:szCs w:val="24"/>
          <w:lang w:val="fr-FR"/>
        </w:rPr>
        <w:t xml:space="preserve"> les </w:t>
      </w:r>
      <w:r w:rsidR="00352E9D" w:rsidRPr="007F3E67">
        <w:rPr>
          <w:szCs w:val="24"/>
          <w:lang w:val="fr-FR"/>
        </w:rPr>
        <w:t xml:space="preserve">mains </w:t>
      </w:r>
      <w:r w:rsidRPr="007F3E67">
        <w:rPr>
          <w:szCs w:val="24"/>
          <w:lang w:val="fr-FR"/>
        </w:rPr>
        <w:t>lié</w:t>
      </w:r>
      <w:r w:rsidR="00352E9D" w:rsidRPr="007F3E67">
        <w:rPr>
          <w:szCs w:val="24"/>
          <w:lang w:val="fr-FR"/>
        </w:rPr>
        <w:t>e</w:t>
      </w:r>
      <w:r w:rsidRPr="007F3E67">
        <w:rPr>
          <w:szCs w:val="24"/>
          <w:lang w:val="fr-FR"/>
        </w:rPr>
        <w:t>s dans le dos et insulté, puis il dut marcher tête baissée dans un couloir à l</w:t>
      </w:r>
      <w:r w:rsidR="007F3E67" w:rsidRPr="007F3E67">
        <w:rPr>
          <w:szCs w:val="24"/>
          <w:lang w:val="fr-FR"/>
        </w:rPr>
        <w:t>’</w:t>
      </w:r>
      <w:r w:rsidRPr="007F3E67">
        <w:rPr>
          <w:szCs w:val="24"/>
          <w:lang w:val="fr-FR"/>
        </w:rPr>
        <w:t xml:space="preserve">intérieur de la caserne, des agents le frappant à coups de poing et de pied. Dans la cellule, alors </w:t>
      </w:r>
      <w:r w:rsidR="00352E9D" w:rsidRPr="007F3E67">
        <w:rPr>
          <w:szCs w:val="24"/>
          <w:lang w:val="fr-FR"/>
        </w:rPr>
        <w:t>qu</w:t>
      </w:r>
      <w:r w:rsidR="007F3E67" w:rsidRPr="007F3E67">
        <w:rPr>
          <w:szCs w:val="24"/>
          <w:lang w:val="fr-FR"/>
        </w:rPr>
        <w:t>’</w:t>
      </w:r>
      <w:r w:rsidR="00352E9D" w:rsidRPr="007F3E67">
        <w:rPr>
          <w:szCs w:val="24"/>
          <w:lang w:val="fr-FR"/>
        </w:rPr>
        <w:t>il</w:t>
      </w:r>
      <w:r w:rsidRPr="007F3E67">
        <w:rPr>
          <w:szCs w:val="24"/>
          <w:lang w:val="fr-FR"/>
        </w:rPr>
        <w:t xml:space="preserve"> avait toujours l</w:t>
      </w:r>
      <w:r w:rsidRPr="007F3E67">
        <w:rPr>
          <w:lang w:val="fr-FR"/>
        </w:rPr>
        <w:t xml:space="preserve">es </w:t>
      </w:r>
      <w:r w:rsidR="00352E9D" w:rsidRPr="007F3E67">
        <w:rPr>
          <w:lang w:val="fr-FR"/>
        </w:rPr>
        <w:t xml:space="preserve">mains </w:t>
      </w:r>
      <w:r w:rsidRPr="007F3E67">
        <w:rPr>
          <w:lang w:val="fr-FR"/>
        </w:rPr>
        <w:t>lié</w:t>
      </w:r>
      <w:r w:rsidR="00352E9D" w:rsidRPr="007F3E67">
        <w:rPr>
          <w:lang w:val="fr-FR"/>
        </w:rPr>
        <w:t>e</w:t>
      </w:r>
      <w:r w:rsidRPr="007F3E67">
        <w:rPr>
          <w:lang w:val="fr-FR"/>
        </w:rPr>
        <w:t>s dans le dos, des agents le frappèrent à nouveau à coups de poing et de pied, y compris dans les testicules et sur la tête pour que celle-ci vînt cogner contre le mur. Dans la nuit du 20 au 21 juillet, toujours à l</w:t>
      </w:r>
      <w:r w:rsidR="007F3E67" w:rsidRPr="007F3E67">
        <w:rPr>
          <w:lang w:val="fr-FR"/>
        </w:rPr>
        <w:t>’</w:t>
      </w:r>
      <w:r w:rsidRPr="007F3E67">
        <w:rPr>
          <w:lang w:val="fr-FR"/>
        </w:rPr>
        <w:t xml:space="preserve">intérieur de la caserne, il fut </w:t>
      </w:r>
      <w:r w:rsidR="00ED25EB" w:rsidRPr="007F3E67">
        <w:rPr>
          <w:lang w:val="fr-FR"/>
        </w:rPr>
        <w:t xml:space="preserve">conduit </w:t>
      </w:r>
      <w:r w:rsidRPr="007F3E67">
        <w:rPr>
          <w:lang w:val="fr-FR"/>
        </w:rPr>
        <w:t>dans un bureau où cinq ou six agents le passèrent à tabac et l</w:t>
      </w:r>
      <w:r w:rsidR="007F3E67" w:rsidRPr="007F3E67">
        <w:rPr>
          <w:lang w:val="fr-FR"/>
        </w:rPr>
        <w:t>’</w:t>
      </w:r>
      <w:r w:rsidRPr="007F3E67">
        <w:rPr>
          <w:lang w:val="fr-FR"/>
        </w:rPr>
        <w:t>insultèrent à nouveau ; le requérant ayant demandé la traduction de certains des documents rédigés en italien qu</w:t>
      </w:r>
      <w:r w:rsidR="007F3E67" w:rsidRPr="007F3E67">
        <w:rPr>
          <w:lang w:val="fr-FR"/>
        </w:rPr>
        <w:t>’</w:t>
      </w:r>
      <w:r w:rsidRPr="007F3E67">
        <w:rPr>
          <w:lang w:val="fr-FR"/>
        </w:rPr>
        <w:t xml:space="preserve">on lui avait ordonné de signer, les agents le frappèrent encore à coups de poing et de pied et lui cassèrent trois côtes. </w:t>
      </w:r>
      <w:r w:rsidR="00744533" w:rsidRPr="007F3E67">
        <w:rPr>
          <w:lang w:val="fr-FR"/>
        </w:rPr>
        <w:t>À</w:t>
      </w:r>
      <w:r w:rsidRPr="007F3E67">
        <w:rPr>
          <w:lang w:val="fr-FR"/>
        </w:rPr>
        <w:t xml:space="preserve"> l</w:t>
      </w:r>
      <w:r w:rsidR="007F3E67" w:rsidRPr="007F3E67">
        <w:rPr>
          <w:lang w:val="fr-FR"/>
        </w:rPr>
        <w:t>’</w:t>
      </w:r>
      <w:r w:rsidRPr="007F3E67">
        <w:rPr>
          <w:lang w:val="fr-FR"/>
        </w:rPr>
        <w:t>infirmerie, alors qu</w:t>
      </w:r>
      <w:r w:rsidR="007F3E67" w:rsidRPr="007F3E67">
        <w:rPr>
          <w:lang w:val="fr-FR"/>
        </w:rPr>
        <w:t>’</w:t>
      </w:r>
      <w:r w:rsidRPr="007F3E67">
        <w:rPr>
          <w:lang w:val="fr-FR"/>
        </w:rPr>
        <w:t>il était nu, le requérant fut l</w:t>
      </w:r>
      <w:r w:rsidR="007F3E67" w:rsidRPr="007F3E67">
        <w:rPr>
          <w:lang w:val="fr-FR"/>
        </w:rPr>
        <w:t>’</w:t>
      </w:r>
      <w:r w:rsidRPr="007F3E67">
        <w:rPr>
          <w:lang w:val="fr-FR"/>
        </w:rPr>
        <w:t>objet d</w:t>
      </w:r>
      <w:r w:rsidR="007F3E67" w:rsidRPr="007F3E67">
        <w:rPr>
          <w:lang w:val="fr-FR"/>
        </w:rPr>
        <w:t>’</w:t>
      </w:r>
      <w:r w:rsidRPr="007F3E67">
        <w:rPr>
          <w:lang w:val="fr-FR"/>
        </w:rPr>
        <w:t xml:space="preserve">autres injures. </w:t>
      </w:r>
      <w:r w:rsidR="00744533" w:rsidRPr="007F3E67">
        <w:rPr>
          <w:lang w:val="fr-FR"/>
        </w:rPr>
        <w:t>À</w:t>
      </w:r>
      <w:r w:rsidRPr="007F3E67">
        <w:rPr>
          <w:lang w:val="fr-FR"/>
        </w:rPr>
        <w:t xml:space="preserve"> son retour de la prise de photo, un autre agent lui serra un bras jusqu</w:t>
      </w:r>
      <w:r w:rsidR="007F3E67" w:rsidRPr="007F3E67">
        <w:rPr>
          <w:lang w:val="fr-FR"/>
        </w:rPr>
        <w:t>’</w:t>
      </w:r>
      <w:r w:rsidRPr="007F3E67">
        <w:rPr>
          <w:lang w:val="fr-FR"/>
        </w:rPr>
        <w:t>à lui causer un hématome ; il dut ensuite rester dans le couloir et fut obligé de crier, avec d</w:t>
      </w:r>
      <w:r w:rsidR="007F3E67" w:rsidRPr="007F3E67">
        <w:rPr>
          <w:lang w:val="fr-FR"/>
        </w:rPr>
        <w:t>’</w:t>
      </w:r>
      <w:r w:rsidRPr="007F3E67">
        <w:rPr>
          <w:lang w:val="fr-FR"/>
        </w:rPr>
        <w:t xml:space="preserve">autres personnes arrêtées, « vive le </w:t>
      </w:r>
      <w:r w:rsidR="00352E9D" w:rsidRPr="007F3E67">
        <w:rPr>
          <w:lang w:val="fr-FR"/>
        </w:rPr>
        <w:t>D</w:t>
      </w:r>
      <w:r w:rsidRPr="007F3E67">
        <w:rPr>
          <w:lang w:val="fr-FR"/>
        </w:rPr>
        <w:t>uce, vive le fascisme, vive la police pénitentiaire ». Le 21 juillet, à l</w:t>
      </w:r>
      <w:r w:rsidR="007F3E67" w:rsidRPr="007F3E67">
        <w:rPr>
          <w:lang w:val="fr-FR"/>
        </w:rPr>
        <w:t>’</w:t>
      </w:r>
      <w:r w:rsidRPr="007F3E67">
        <w:rPr>
          <w:lang w:val="fr-FR"/>
        </w:rPr>
        <w:t>aube, il fut transféré à la prison d</w:t>
      </w:r>
      <w:r w:rsidR="007F3E67" w:rsidRPr="007F3E67">
        <w:rPr>
          <w:lang w:val="fr-FR"/>
        </w:rPr>
        <w:t>’</w:t>
      </w:r>
      <w:r w:rsidRPr="007F3E67">
        <w:rPr>
          <w:lang w:val="fr-FR"/>
        </w:rPr>
        <w:t>Alexandrie.</w:t>
      </w:r>
    </w:p>
    <w:p w:rsidR="00E235F1" w:rsidRPr="007F3E67" w:rsidRDefault="00E235F1" w:rsidP="007F3E67">
      <w:pPr>
        <w:pStyle w:val="ECHRPara"/>
        <w:rPr>
          <w:szCs w:val="24"/>
          <w:lang w:val="fr-FR"/>
        </w:rPr>
      </w:pPr>
      <w:r w:rsidRPr="007F3E67">
        <w:rPr>
          <w:lang w:val="fr-FR"/>
        </w:rPr>
        <w:lastRenderedPageBreak/>
        <w:fldChar w:fldCharType="begin"/>
      </w:r>
      <w:r w:rsidRPr="007F3E67">
        <w:rPr>
          <w:lang w:val="fr-FR"/>
        </w:rPr>
        <w:instrText xml:space="preserve"> SEQ level0 \*arabic </w:instrText>
      </w:r>
      <w:r w:rsidRPr="007F3E67">
        <w:rPr>
          <w:lang w:val="fr-FR"/>
        </w:rPr>
        <w:fldChar w:fldCharType="separate"/>
      </w:r>
      <w:r w:rsidR="007F3E67" w:rsidRPr="007F3E67">
        <w:rPr>
          <w:noProof/>
          <w:lang w:val="fr-FR"/>
        </w:rPr>
        <w:t>41</w:t>
      </w:r>
      <w:r w:rsidRPr="007F3E67">
        <w:rPr>
          <w:lang w:val="fr-FR"/>
        </w:rPr>
        <w:fldChar w:fldCharType="end"/>
      </w:r>
      <w:r w:rsidRPr="007F3E67">
        <w:rPr>
          <w:lang w:val="fr-FR"/>
        </w:rPr>
        <w:t>.  M</w:t>
      </w:r>
      <w:r w:rsidRPr="007F3E67">
        <w:rPr>
          <w:rFonts w:ascii="Times New (W1)" w:hAnsi="Times New (W1)"/>
          <w:vertAlign w:val="superscript"/>
          <w:lang w:val="fr-FR"/>
        </w:rPr>
        <w:t>me</w:t>
      </w:r>
      <w:r w:rsidRPr="007F3E67">
        <w:rPr>
          <w:szCs w:val="24"/>
          <w:lang w:val="fr-FR"/>
        </w:rPr>
        <w:t xml:space="preserve"> Percivati fut arrêtée l</w:t>
      </w:r>
      <w:r w:rsidR="007F3E67" w:rsidRPr="007F3E67">
        <w:rPr>
          <w:szCs w:val="24"/>
          <w:lang w:val="fr-FR"/>
        </w:rPr>
        <w:t>’</w:t>
      </w:r>
      <w:r w:rsidRPr="007F3E67">
        <w:rPr>
          <w:szCs w:val="24"/>
          <w:lang w:val="fr-FR"/>
        </w:rPr>
        <w:t xml:space="preserve">après-midi du 20 juillet, dans la </w:t>
      </w:r>
      <w:r w:rsidR="007F3E67" w:rsidRPr="007F3E67">
        <w:rPr>
          <w:szCs w:val="24"/>
          <w:lang w:val="fr-FR"/>
        </w:rPr>
        <w:t>rue Montezovetto</w:t>
      </w:r>
      <w:r w:rsidRPr="007F3E67">
        <w:rPr>
          <w:szCs w:val="24"/>
          <w:lang w:val="fr-FR"/>
        </w:rPr>
        <w:t xml:space="preserve">, et emmenée à la caserne de Bolzaneto le soir du même jour. </w:t>
      </w:r>
      <w:r w:rsidR="00FD3D9A" w:rsidRPr="007F3E67">
        <w:rPr>
          <w:szCs w:val="24"/>
          <w:lang w:val="fr-FR"/>
        </w:rPr>
        <w:t>À</w:t>
      </w:r>
      <w:r w:rsidRPr="007F3E67">
        <w:rPr>
          <w:szCs w:val="24"/>
          <w:lang w:val="fr-FR"/>
        </w:rPr>
        <w:t xml:space="preserve"> son arrivée à la caserne, alors qu</w:t>
      </w:r>
      <w:r w:rsidR="007F3E67" w:rsidRPr="007F3E67">
        <w:rPr>
          <w:szCs w:val="24"/>
          <w:lang w:val="fr-FR"/>
        </w:rPr>
        <w:t>’</w:t>
      </w:r>
      <w:r w:rsidRPr="007F3E67">
        <w:rPr>
          <w:szCs w:val="24"/>
          <w:lang w:val="fr-FR"/>
        </w:rPr>
        <w:t xml:space="preserve">elle se trouvait encore dans la camionnette de la police, elle se vit injurier et couvrir de crachats et </w:t>
      </w:r>
      <w:r w:rsidR="00ED25EB" w:rsidRPr="007F3E67">
        <w:rPr>
          <w:szCs w:val="24"/>
          <w:lang w:val="fr-FR"/>
        </w:rPr>
        <w:t xml:space="preserve">elle </w:t>
      </w:r>
      <w:r w:rsidRPr="007F3E67">
        <w:rPr>
          <w:szCs w:val="24"/>
          <w:lang w:val="fr-FR"/>
        </w:rPr>
        <w:t>entendit clairement des agents se féliciter d</w:t>
      </w:r>
      <w:r w:rsidR="007F3E67" w:rsidRPr="007F3E67">
        <w:rPr>
          <w:szCs w:val="24"/>
          <w:lang w:val="fr-FR"/>
        </w:rPr>
        <w:t>’</w:t>
      </w:r>
      <w:r w:rsidRPr="007F3E67">
        <w:rPr>
          <w:szCs w:val="24"/>
          <w:lang w:val="fr-FR"/>
        </w:rPr>
        <w:t>avoir apporté d</w:t>
      </w:r>
      <w:r w:rsidR="007F3E67" w:rsidRPr="007F3E67">
        <w:rPr>
          <w:szCs w:val="24"/>
          <w:lang w:val="fr-FR"/>
        </w:rPr>
        <w:t>’</w:t>
      </w:r>
      <w:r w:rsidRPr="007F3E67">
        <w:rPr>
          <w:szCs w:val="24"/>
          <w:lang w:val="fr-FR"/>
        </w:rPr>
        <w:t>autres « chats à fouetter » à leurs collègues de la caserne. Emmenée dans une cellule à coups de poing, de pied et de matraque, elle fut obligée de rester l</w:t>
      </w:r>
      <w:r w:rsidRPr="007F3E67">
        <w:rPr>
          <w:lang w:val="fr-FR"/>
        </w:rPr>
        <w:t xml:space="preserve">es </w:t>
      </w:r>
      <w:r w:rsidR="008F17CC" w:rsidRPr="007F3E67">
        <w:rPr>
          <w:lang w:val="fr-FR"/>
        </w:rPr>
        <w:t xml:space="preserve">mains </w:t>
      </w:r>
      <w:r w:rsidRPr="007F3E67">
        <w:rPr>
          <w:lang w:val="fr-FR"/>
        </w:rPr>
        <w:t>lié</w:t>
      </w:r>
      <w:r w:rsidR="008F17CC" w:rsidRPr="007F3E67">
        <w:rPr>
          <w:lang w:val="fr-FR"/>
        </w:rPr>
        <w:t>e</w:t>
      </w:r>
      <w:r w:rsidRPr="007F3E67">
        <w:rPr>
          <w:lang w:val="fr-FR"/>
        </w:rPr>
        <w:t>s dans le dos, le visage contre le mur et les jambes légèrement écartées ; puis elle fut transférée dans la même cellule que M</w:t>
      </w:r>
      <w:r w:rsidRPr="007F3E67">
        <w:rPr>
          <w:rFonts w:ascii="Times New (W1)" w:hAnsi="Times New (W1)"/>
          <w:vertAlign w:val="superscript"/>
          <w:lang w:val="fr-FR"/>
        </w:rPr>
        <w:t>me</w:t>
      </w:r>
      <w:r w:rsidRPr="007F3E67">
        <w:rPr>
          <w:szCs w:val="24"/>
          <w:lang w:val="fr-FR"/>
        </w:rPr>
        <w:t xml:space="preserve"> Ender et d</w:t>
      </w:r>
      <w:r w:rsidR="007F3E67" w:rsidRPr="007F3E67">
        <w:rPr>
          <w:szCs w:val="24"/>
          <w:lang w:val="fr-FR"/>
        </w:rPr>
        <w:t>’</w:t>
      </w:r>
      <w:r w:rsidRPr="007F3E67">
        <w:rPr>
          <w:szCs w:val="24"/>
          <w:lang w:val="fr-FR"/>
        </w:rPr>
        <w:t xml:space="preserve">autres personnes arrêtées. Dans la nuit, </w:t>
      </w:r>
      <w:r w:rsidRPr="007F3E67">
        <w:rPr>
          <w:lang w:val="fr-FR"/>
        </w:rPr>
        <w:t>M</w:t>
      </w:r>
      <w:r w:rsidRPr="007F3E67">
        <w:rPr>
          <w:rFonts w:ascii="Times New (W1)" w:hAnsi="Times New (W1)"/>
          <w:vertAlign w:val="superscript"/>
          <w:lang w:val="fr-FR"/>
        </w:rPr>
        <w:t>me</w:t>
      </w:r>
      <w:r w:rsidRPr="007F3E67">
        <w:rPr>
          <w:szCs w:val="24"/>
          <w:lang w:val="fr-FR"/>
        </w:rPr>
        <w:t xml:space="preserve"> Ender, après être revenue des toilettes, dit à la requérante qu</w:t>
      </w:r>
      <w:r w:rsidR="007F3E67" w:rsidRPr="007F3E67">
        <w:rPr>
          <w:szCs w:val="24"/>
          <w:lang w:val="fr-FR"/>
        </w:rPr>
        <w:t>’</w:t>
      </w:r>
      <w:r w:rsidRPr="007F3E67">
        <w:rPr>
          <w:szCs w:val="24"/>
          <w:lang w:val="fr-FR"/>
        </w:rPr>
        <w:t xml:space="preserve">elle avait été tabassée (paragraphe 48 ci-dessus). Lorsque </w:t>
      </w:r>
      <w:r w:rsidR="008F17CC" w:rsidRPr="007F3E67">
        <w:rPr>
          <w:szCs w:val="24"/>
          <w:lang w:val="fr-FR"/>
        </w:rPr>
        <w:t>M</w:t>
      </w:r>
      <w:r w:rsidR="008F17CC" w:rsidRPr="007F3E67">
        <w:rPr>
          <w:szCs w:val="24"/>
          <w:vertAlign w:val="superscript"/>
          <w:lang w:val="fr-FR"/>
        </w:rPr>
        <w:t>me</w:t>
      </w:r>
      <w:r w:rsidR="008F17CC" w:rsidRPr="007F3E67">
        <w:rPr>
          <w:szCs w:val="24"/>
          <w:lang w:val="fr-FR"/>
        </w:rPr>
        <w:t xml:space="preserve"> Percivati</w:t>
      </w:r>
      <w:r w:rsidRPr="007F3E67">
        <w:rPr>
          <w:szCs w:val="24"/>
          <w:lang w:val="fr-FR"/>
        </w:rPr>
        <w:t xml:space="preserve"> se rendit à son tour aux toilettes, elle fut d</w:t>
      </w:r>
      <w:r w:rsidR="007F3E67" w:rsidRPr="007F3E67">
        <w:rPr>
          <w:szCs w:val="24"/>
          <w:lang w:val="fr-FR"/>
        </w:rPr>
        <w:t>’</w:t>
      </w:r>
      <w:r w:rsidRPr="007F3E67">
        <w:rPr>
          <w:szCs w:val="24"/>
          <w:lang w:val="fr-FR"/>
        </w:rPr>
        <w:t>abord frappée et insultée dans le couloir ; ensuite, l</w:t>
      </w:r>
      <w:r w:rsidR="007F3E67" w:rsidRPr="007F3E67">
        <w:rPr>
          <w:szCs w:val="24"/>
          <w:lang w:val="fr-FR"/>
        </w:rPr>
        <w:t>’</w:t>
      </w:r>
      <w:r w:rsidRPr="007F3E67">
        <w:rPr>
          <w:szCs w:val="24"/>
          <w:lang w:val="fr-FR"/>
        </w:rPr>
        <w:t>agente de police qui la suivit dans les toilettes poussa sa tête vers la cuvette, tandis que d</w:t>
      </w:r>
      <w:r w:rsidR="007F3E67" w:rsidRPr="007F3E67">
        <w:rPr>
          <w:szCs w:val="24"/>
          <w:lang w:val="fr-FR"/>
        </w:rPr>
        <w:t>’</w:t>
      </w:r>
      <w:r w:rsidRPr="007F3E67">
        <w:rPr>
          <w:szCs w:val="24"/>
          <w:lang w:val="fr-FR"/>
        </w:rPr>
        <w:t>autres agents, depuis l</w:t>
      </w:r>
      <w:r w:rsidR="007F3E67" w:rsidRPr="007F3E67">
        <w:rPr>
          <w:szCs w:val="24"/>
          <w:lang w:val="fr-FR"/>
        </w:rPr>
        <w:t>’</w:t>
      </w:r>
      <w:r w:rsidRPr="007F3E67">
        <w:rPr>
          <w:szCs w:val="24"/>
          <w:lang w:val="fr-FR"/>
        </w:rPr>
        <w:t xml:space="preserve">extérieur, continuaient à lui adresser des injures (« pute, tu aimes la matraque »). Dans la nuit du 20 au 21 juillet, </w:t>
      </w:r>
      <w:r w:rsidR="008F17CC" w:rsidRPr="007F3E67">
        <w:rPr>
          <w:szCs w:val="24"/>
          <w:lang w:val="fr-FR"/>
        </w:rPr>
        <w:t>elle</w:t>
      </w:r>
      <w:r w:rsidRPr="007F3E67">
        <w:rPr>
          <w:szCs w:val="24"/>
          <w:lang w:val="fr-FR"/>
        </w:rPr>
        <w:t xml:space="preserve"> fut emmenée dans un bureau</w:t>
      </w:r>
      <w:r w:rsidRPr="007F3E67">
        <w:rPr>
          <w:lang w:val="fr-FR"/>
        </w:rPr>
        <w:t xml:space="preserve"> où on lui demanda si elle était enceinte et</w:t>
      </w:r>
      <w:r w:rsidR="008F17CC" w:rsidRPr="007F3E67">
        <w:rPr>
          <w:lang w:val="fr-FR"/>
        </w:rPr>
        <w:t xml:space="preserve"> où</w:t>
      </w:r>
      <w:r w:rsidRPr="007F3E67">
        <w:rPr>
          <w:lang w:val="fr-FR"/>
        </w:rPr>
        <w:t>, à la suite de son refus réitéré de signer des documents sans les avoir lus, quatre ou cinq agents la rouèrent de coups et lui cognèrent la tête contre le mur. La requérante fut à nouveau frappée à coups de poing et de pied lorsqu</w:t>
      </w:r>
      <w:r w:rsidR="007F3E67" w:rsidRPr="007F3E67">
        <w:rPr>
          <w:lang w:val="fr-FR"/>
        </w:rPr>
        <w:t>’</w:t>
      </w:r>
      <w:r w:rsidRPr="007F3E67">
        <w:rPr>
          <w:lang w:val="fr-FR"/>
        </w:rPr>
        <w:t>elle fut reconduite dans sa cellule puis emmenée dans le bureau pour la prise de photo ; à son retour, elle dut rester dans le couloir face contre le mur, bras en l</w:t>
      </w:r>
      <w:r w:rsidR="007F3E67" w:rsidRPr="007F3E67">
        <w:rPr>
          <w:lang w:val="fr-FR"/>
        </w:rPr>
        <w:t>’</w:t>
      </w:r>
      <w:r w:rsidRPr="007F3E67">
        <w:rPr>
          <w:lang w:val="fr-FR"/>
        </w:rPr>
        <w:t>air et jambes écartées, sous les coups de matraque. Elle fut en outre obligée de sortir de l</w:t>
      </w:r>
      <w:r w:rsidR="007F3E67" w:rsidRPr="007F3E67">
        <w:rPr>
          <w:lang w:val="fr-FR"/>
        </w:rPr>
        <w:t>’</w:t>
      </w:r>
      <w:r w:rsidRPr="007F3E67">
        <w:rPr>
          <w:lang w:val="fr-FR"/>
        </w:rPr>
        <w:t xml:space="preserve">infirmerie en sous-vêtements pour chercher ses effets personnels dans le couloir. </w:t>
      </w:r>
      <w:r w:rsidR="008F17CC" w:rsidRPr="007F3E67">
        <w:rPr>
          <w:lang w:val="fr-FR"/>
        </w:rPr>
        <w:t xml:space="preserve">Lors de </w:t>
      </w:r>
      <w:r w:rsidRPr="007F3E67">
        <w:rPr>
          <w:lang w:val="fr-FR"/>
        </w:rPr>
        <w:t xml:space="preserve">tous ses déplacements à </w:t>
      </w:r>
      <w:r w:rsidR="008F17CC" w:rsidRPr="007F3E67">
        <w:rPr>
          <w:lang w:val="fr-FR"/>
        </w:rPr>
        <w:t>l</w:t>
      </w:r>
      <w:r w:rsidR="007F3E67" w:rsidRPr="007F3E67">
        <w:rPr>
          <w:lang w:val="fr-FR"/>
        </w:rPr>
        <w:t>’</w:t>
      </w:r>
      <w:r w:rsidR="008F17CC" w:rsidRPr="007F3E67">
        <w:rPr>
          <w:lang w:val="fr-FR"/>
        </w:rPr>
        <w:t xml:space="preserve">intérieur de </w:t>
      </w:r>
      <w:r w:rsidRPr="007F3E67">
        <w:rPr>
          <w:lang w:val="fr-FR"/>
        </w:rPr>
        <w:t>la caserne, la requérante dut marcher tête baissée. Elle fut privée de ses bijoux et de ses protections hygiéniques. Après avoir été obligée, avec d</w:t>
      </w:r>
      <w:r w:rsidR="007F3E67" w:rsidRPr="007F3E67">
        <w:rPr>
          <w:lang w:val="fr-FR"/>
        </w:rPr>
        <w:t>’</w:t>
      </w:r>
      <w:r w:rsidRPr="007F3E67">
        <w:rPr>
          <w:lang w:val="fr-FR"/>
        </w:rPr>
        <w:t xml:space="preserve">autres personnes arrêtées, de faire le salut </w:t>
      </w:r>
      <w:r w:rsidRPr="007F3E67">
        <w:rPr>
          <w:szCs w:val="24"/>
          <w:lang w:val="fr-FR" w:eastAsia="en-GB"/>
        </w:rPr>
        <w:t>hitlérien</w:t>
      </w:r>
      <w:r w:rsidRPr="007F3E67">
        <w:rPr>
          <w:lang w:val="fr-FR"/>
        </w:rPr>
        <w:t xml:space="preserve"> et de chanter un hymne fasciste, elle fut transférée, le 21 juillet, à l</w:t>
      </w:r>
      <w:r w:rsidR="007F3E67" w:rsidRPr="007F3E67">
        <w:rPr>
          <w:lang w:val="fr-FR"/>
        </w:rPr>
        <w:t>’</w:t>
      </w:r>
      <w:r w:rsidRPr="007F3E67">
        <w:rPr>
          <w:lang w:val="fr-FR"/>
        </w:rPr>
        <w:t>aube, à la prison d</w:t>
      </w:r>
      <w:r w:rsidR="007F3E67" w:rsidRPr="007F3E67">
        <w:rPr>
          <w:lang w:val="fr-FR"/>
        </w:rPr>
        <w:t>’</w:t>
      </w:r>
      <w:r w:rsidRPr="007F3E67">
        <w:rPr>
          <w:lang w:val="fr-FR"/>
        </w:rPr>
        <w:t>Alexandrie.</w:t>
      </w:r>
    </w:p>
    <w:p w:rsidR="00E235F1" w:rsidRPr="007F3E67" w:rsidRDefault="00E235F1" w:rsidP="007F3E67">
      <w:pPr>
        <w:pStyle w:val="ECHRPara"/>
        <w:rPr>
          <w:lang w:val="fr-FR"/>
        </w:rPr>
      </w:pPr>
      <w:r w:rsidRPr="007F3E67">
        <w:rPr>
          <w:szCs w:val="24"/>
          <w:lang w:val="fr-FR"/>
        </w:rPr>
        <w:fldChar w:fldCharType="begin"/>
      </w:r>
      <w:r w:rsidRPr="007F3E67">
        <w:rPr>
          <w:szCs w:val="24"/>
          <w:lang w:val="fr-FR"/>
        </w:rPr>
        <w:instrText xml:space="preserve"> SEQ level0 \*arabic </w:instrText>
      </w:r>
      <w:r w:rsidRPr="007F3E67">
        <w:rPr>
          <w:szCs w:val="24"/>
          <w:lang w:val="fr-FR"/>
        </w:rPr>
        <w:fldChar w:fldCharType="separate"/>
      </w:r>
      <w:r w:rsidR="007F3E67" w:rsidRPr="007F3E67">
        <w:rPr>
          <w:noProof/>
          <w:szCs w:val="24"/>
          <w:lang w:val="fr-FR"/>
        </w:rPr>
        <w:t>42</w:t>
      </w:r>
      <w:r w:rsidRPr="007F3E67">
        <w:rPr>
          <w:szCs w:val="24"/>
          <w:lang w:val="fr-FR"/>
        </w:rPr>
        <w:fldChar w:fldCharType="end"/>
      </w:r>
      <w:r w:rsidRPr="007F3E67">
        <w:rPr>
          <w:szCs w:val="24"/>
          <w:lang w:val="fr-FR"/>
        </w:rPr>
        <w:t>.  M. Nebot fut arrêté l</w:t>
      </w:r>
      <w:r w:rsidR="007F3E67" w:rsidRPr="007F3E67">
        <w:rPr>
          <w:szCs w:val="24"/>
          <w:lang w:val="fr-FR"/>
        </w:rPr>
        <w:t>’</w:t>
      </w:r>
      <w:r w:rsidRPr="007F3E67">
        <w:rPr>
          <w:szCs w:val="24"/>
          <w:lang w:val="fr-FR"/>
        </w:rPr>
        <w:t xml:space="preserve">après-midi du 20 juillet, dans la </w:t>
      </w:r>
      <w:r w:rsidR="007F3E67" w:rsidRPr="007F3E67">
        <w:rPr>
          <w:szCs w:val="24"/>
          <w:lang w:val="fr-FR"/>
        </w:rPr>
        <w:t>rue Montezovetto</w:t>
      </w:r>
      <w:r w:rsidRPr="007F3E67">
        <w:rPr>
          <w:szCs w:val="24"/>
          <w:lang w:val="fr-FR"/>
        </w:rPr>
        <w:t xml:space="preserve">, et emmené à la caserne de Bolzaneto le soir du même jour. </w:t>
      </w:r>
      <w:r w:rsidR="008F17CC" w:rsidRPr="007F3E67">
        <w:rPr>
          <w:szCs w:val="24"/>
          <w:lang w:val="fr-FR"/>
        </w:rPr>
        <w:t xml:space="preserve">À </w:t>
      </w:r>
      <w:r w:rsidRPr="007F3E67">
        <w:rPr>
          <w:szCs w:val="24"/>
          <w:lang w:val="fr-FR"/>
        </w:rPr>
        <w:t xml:space="preserve">son arrivée à la caserne, il dut marcher penché </w:t>
      </w:r>
      <w:r w:rsidR="008F17CC" w:rsidRPr="007F3E67">
        <w:rPr>
          <w:szCs w:val="24"/>
          <w:lang w:val="fr-FR"/>
        </w:rPr>
        <w:t xml:space="preserve">en </w:t>
      </w:r>
      <w:r w:rsidRPr="007F3E67">
        <w:rPr>
          <w:szCs w:val="24"/>
          <w:lang w:val="fr-FR"/>
        </w:rPr>
        <w:t xml:space="preserve">avant et tête baissée. Lors de son passage dans le couloir vers la cellule, il fut frappé au ventre et aux testicules. Dans la cellule, il dut rester debout, jambes écartées et bras dans le dos, et </w:t>
      </w:r>
      <w:r w:rsidR="00ED25EB" w:rsidRPr="007F3E67">
        <w:rPr>
          <w:szCs w:val="24"/>
          <w:lang w:val="fr-FR"/>
        </w:rPr>
        <w:t xml:space="preserve">il </w:t>
      </w:r>
      <w:r w:rsidRPr="007F3E67">
        <w:rPr>
          <w:szCs w:val="24"/>
          <w:lang w:val="fr-FR"/>
        </w:rPr>
        <w:t xml:space="preserve">fut frappé à intervalles irréguliers aux testicules et aux jambes par les agents. </w:t>
      </w:r>
      <w:r w:rsidRPr="007F3E67">
        <w:rPr>
          <w:lang w:val="fr-FR"/>
        </w:rPr>
        <w:t>Dans la nuit du 20 au 21 juillet, il fut emmené dans un bureau où on lui montra des documents rédigés en italien ; ayant demandé l</w:t>
      </w:r>
      <w:r w:rsidR="007F3E67" w:rsidRPr="007F3E67">
        <w:rPr>
          <w:lang w:val="fr-FR"/>
        </w:rPr>
        <w:t>’</w:t>
      </w:r>
      <w:r w:rsidRPr="007F3E67">
        <w:rPr>
          <w:lang w:val="fr-FR"/>
        </w:rPr>
        <w:t>assistance d</w:t>
      </w:r>
      <w:r w:rsidR="007F3E67" w:rsidRPr="007F3E67">
        <w:rPr>
          <w:lang w:val="fr-FR"/>
        </w:rPr>
        <w:t>’</w:t>
      </w:r>
      <w:r w:rsidRPr="007F3E67">
        <w:rPr>
          <w:lang w:val="fr-FR"/>
        </w:rPr>
        <w:t>un traducteur et d</w:t>
      </w:r>
      <w:r w:rsidR="007F3E67" w:rsidRPr="007F3E67">
        <w:rPr>
          <w:lang w:val="fr-FR"/>
        </w:rPr>
        <w:t>’</w:t>
      </w:r>
      <w:r w:rsidRPr="007F3E67">
        <w:rPr>
          <w:lang w:val="fr-FR"/>
        </w:rPr>
        <w:t>un avocat, il fut frappé plusieurs fois jusqu</w:t>
      </w:r>
      <w:r w:rsidR="007F3E67" w:rsidRPr="007F3E67">
        <w:rPr>
          <w:lang w:val="fr-FR"/>
        </w:rPr>
        <w:t>’</w:t>
      </w:r>
      <w:r w:rsidRPr="007F3E67">
        <w:rPr>
          <w:lang w:val="fr-FR"/>
        </w:rPr>
        <w:t>à ce qu</w:t>
      </w:r>
      <w:r w:rsidR="007F3E67" w:rsidRPr="007F3E67">
        <w:rPr>
          <w:lang w:val="fr-FR"/>
        </w:rPr>
        <w:t>’</w:t>
      </w:r>
      <w:r w:rsidRPr="007F3E67">
        <w:rPr>
          <w:lang w:val="fr-FR"/>
        </w:rPr>
        <w:t xml:space="preserve">il acceptât de signer ces documents. </w:t>
      </w:r>
      <w:r w:rsidR="00FD3D9A" w:rsidRPr="007F3E67">
        <w:rPr>
          <w:lang w:val="fr-FR"/>
        </w:rPr>
        <w:t>À</w:t>
      </w:r>
      <w:r w:rsidRPr="007F3E67">
        <w:rPr>
          <w:lang w:val="fr-FR"/>
        </w:rPr>
        <w:t xml:space="preserve"> l</w:t>
      </w:r>
      <w:r w:rsidR="007F3E67" w:rsidRPr="007F3E67">
        <w:rPr>
          <w:lang w:val="fr-FR"/>
        </w:rPr>
        <w:t>’</w:t>
      </w:r>
      <w:r w:rsidRPr="007F3E67">
        <w:rPr>
          <w:lang w:val="fr-FR"/>
        </w:rPr>
        <w:t xml:space="preserve">infirmerie, </w:t>
      </w:r>
      <w:r w:rsidR="008F17CC" w:rsidRPr="007F3E67">
        <w:rPr>
          <w:lang w:val="fr-FR"/>
        </w:rPr>
        <w:t>M.</w:t>
      </w:r>
      <w:r w:rsidR="000F51B7" w:rsidRPr="007F3E67">
        <w:rPr>
          <w:lang w:val="fr-FR"/>
        </w:rPr>
        <w:t> </w:t>
      </w:r>
      <w:r w:rsidR="008F17CC" w:rsidRPr="007F3E67">
        <w:rPr>
          <w:lang w:val="fr-FR"/>
        </w:rPr>
        <w:t>Larroquelle</w:t>
      </w:r>
      <w:r w:rsidR="004F1D6E" w:rsidRPr="007F3E67">
        <w:rPr>
          <w:lang w:val="fr-FR"/>
        </w:rPr>
        <w:t xml:space="preserve"> (requérant de la requête </w:t>
      </w:r>
      <w:r w:rsidR="002A4D07" w:rsidRPr="007F3E67">
        <w:rPr>
          <w:lang w:val="fr-FR"/>
        </w:rPr>
        <w:t>n</w:t>
      </w:r>
      <w:r w:rsidR="005B1238" w:rsidRPr="007F3E67">
        <w:rPr>
          <w:vertAlign w:val="superscript"/>
          <w:lang w:val="fr-FR"/>
        </w:rPr>
        <w:t>o</w:t>
      </w:r>
      <w:r w:rsidR="002A4D07" w:rsidRPr="007F3E67">
        <w:rPr>
          <w:lang w:val="fr-FR"/>
        </w:rPr>
        <w:t>67599/10</w:t>
      </w:r>
      <w:r w:rsidR="004F1D6E" w:rsidRPr="007F3E67">
        <w:rPr>
          <w:lang w:val="fr-FR"/>
        </w:rPr>
        <w:t xml:space="preserve"> figurant sous le numéro 12</w:t>
      </w:r>
      <w:r w:rsidR="009206B2" w:rsidRPr="007F3E67">
        <w:rPr>
          <w:lang w:val="fr-FR"/>
        </w:rPr>
        <w:t> </w:t>
      </w:r>
      <w:r w:rsidR="004F1D6E" w:rsidRPr="007F3E67">
        <w:rPr>
          <w:lang w:val="fr-FR"/>
        </w:rPr>
        <w:t>d</w:t>
      </w:r>
      <w:r w:rsidR="002A4D07" w:rsidRPr="007F3E67">
        <w:rPr>
          <w:lang w:val="fr-FR"/>
        </w:rPr>
        <w:t>ans</w:t>
      </w:r>
      <w:r w:rsidR="004F1D6E" w:rsidRPr="007F3E67">
        <w:rPr>
          <w:lang w:val="fr-FR"/>
        </w:rPr>
        <w:t xml:space="preserve"> la liste en annexe)</w:t>
      </w:r>
      <w:r w:rsidR="008F17CC" w:rsidRPr="007F3E67">
        <w:rPr>
          <w:lang w:val="fr-FR"/>
        </w:rPr>
        <w:t xml:space="preserve"> et lui furent</w:t>
      </w:r>
      <w:r w:rsidRPr="007F3E67">
        <w:rPr>
          <w:lang w:val="fr-FR"/>
        </w:rPr>
        <w:t xml:space="preserve"> insulté</w:t>
      </w:r>
      <w:r w:rsidR="008F17CC" w:rsidRPr="007F3E67">
        <w:rPr>
          <w:lang w:val="fr-FR"/>
        </w:rPr>
        <w:t>s</w:t>
      </w:r>
      <w:r w:rsidRPr="007F3E67">
        <w:rPr>
          <w:lang w:val="fr-FR"/>
        </w:rPr>
        <w:t xml:space="preserve"> pour </w:t>
      </w:r>
      <w:r w:rsidR="008F17CC" w:rsidRPr="007F3E67">
        <w:rPr>
          <w:lang w:val="fr-FR"/>
        </w:rPr>
        <w:t xml:space="preserve">leur </w:t>
      </w:r>
      <w:r w:rsidRPr="007F3E67">
        <w:rPr>
          <w:lang w:val="fr-FR"/>
        </w:rPr>
        <w:t>« mauvaise odeur »</w:t>
      </w:r>
      <w:r w:rsidR="008F17CC" w:rsidRPr="007F3E67">
        <w:rPr>
          <w:lang w:val="fr-FR"/>
        </w:rPr>
        <w:t> </w:t>
      </w:r>
      <w:r w:rsidRPr="007F3E67">
        <w:rPr>
          <w:lang w:val="fr-FR"/>
        </w:rPr>
        <w:t xml:space="preserve">; </w:t>
      </w:r>
      <w:r w:rsidR="008F17CC" w:rsidRPr="007F3E67">
        <w:rPr>
          <w:lang w:val="fr-FR"/>
        </w:rPr>
        <w:t xml:space="preserve">M. Nebot </w:t>
      </w:r>
      <w:r w:rsidRPr="007F3E67">
        <w:rPr>
          <w:lang w:val="fr-FR"/>
        </w:rPr>
        <w:t>ne reçut aucun soin et ne fut pas questionné sur son état de santé par le médecin, malgré la présence d</w:t>
      </w:r>
      <w:r w:rsidR="007F3E67" w:rsidRPr="007F3E67">
        <w:rPr>
          <w:lang w:val="fr-FR"/>
        </w:rPr>
        <w:t>’</w:t>
      </w:r>
      <w:r w:rsidRPr="007F3E67">
        <w:rPr>
          <w:lang w:val="fr-FR"/>
        </w:rPr>
        <w:t xml:space="preserve">ecchymoses sur son ventre et sa poitrine. Bien </w:t>
      </w:r>
      <w:r w:rsidR="008F17CC" w:rsidRPr="007F3E67">
        <w:rPr>
          <w:lang w:val="fr-FR"/>
        </w:rPr>
        <w:t>qu</w:t>
      </w:r>
      <w:r w:rsidR="007F3E67" w:rsidRPr="007F3E67">
        <w:rPr>
          <w:lang w:val="fr-FR"/>
        </w:rPr>
        <w:t>’</w:t>
      </w:r>
      <w:r w:rsidR="008F17CC" w:rsidRPr="007F3E67">
        <w:rPr>
          <w:lang w:val="fr-FR"/>
        </w:rPr>
        <w:t xml:space="preserve">il ait </w:t>
      </w:r>
      <w:r w:rsidRPr="007F3E67">
        <w:rPr>
          <w:lang w:val="fr-FR"/>
        </w:rPr>
        <w:t xml:space="preserve">signalé à maintes reprises, même en présence du </w:t>
      </w:r>
      <w:r w:rsidRPr="007F3E67">
        <w:rPr>
          <w:lang w:val="fr-FR"/>
        </w:rPr>
        <w:lastRenderedPageBreak/>
        <w:t>médecin, qu</w:t>
      </w:r>
      <w:r w:rsidR="007F3E67" w:rsidRPr="007F3E67">
        <w:rPr>
          <w:lang w:val="fr-FR"/>
        </w:rPr>
        <w:t>’</w:t>
      </w:r>
      <w:r w:rsidRPr="007F3E67">
        <w:rPr>
          <w:lang w:val="fr-FR"/>
        </w:rPr>
        <w:t xml:space="preserve">il était asthmatique, il fut privé de ses médicaments tout au long de sa détention à la caserne. </w:t>
      </w:r>
      <w:r w:rsidRPr="007F3E67">
        <w:rPr>
          <w:szCs w:val="24"/>
          <w:lang w:val="fr-FR"/>
        </w:rPr>
        <w:t xml:space="preserve">Dans la cellule, il fut obligé </w:t>
      </w:r>
      <w:r w:rsidRPr="007F3E67">
        <w:rPr>
          <w:lang w:val="fr-FR"/>
        </w:rPr>
        <w:t xml:space="preserve">de crier « vive le </w:t>
      </w:r>
      <w:r w:rsidR="008F17CC" w:rsidRPr="007F3E67">
        <w:rPr>
          <w:lang w:val="fr-FR"/>
        </w:rPr>
        <w:t>D</w:t>
      </w:r>
      <w:r w:rsidRPr="007F3E67">
        <w:rPr>
          <w:lang w:val="fr-FR"/>
        </w:rPr>
        <w:t>uce, vive Mussolini, vive la police pénitentiaire » et vit d</w:t>
      </w:r>
      <w:r w:rsidR="007F3E67" w:rsidRPr="007F3E67">
        <w:rPr>
          <w:lang w:val="fr-FR"/>
        </w:rPr>
        <w:t>’</w:t>
      </w:r>
      <w:r w:rsidRPr="007F3E67">
        <w:rPr>
          <w:lang w:val="fr-FR"/>
        </w:rPr>
        <w:t xml:space="preserve">autres personnes arrêtées contraintes de marcher dans le couloir en faisant le salut </w:t>
      </w:r>
      <w:r w:rsidRPr="007F3E67">
        <w:rPr>
          <w:szCs w:val="24"/>
          <w:lang w:val="fr-FR" w:eastAsia="en-GB"/>
        </w:rPr>
        <w:t>hitlérien</w:t>
      </w:r>
      <w:r w:rsidRPr="007F3E67">
        <w:rPr>
          <w:lang w:val="fr-FR"/>
        </w:rPr>
        <w:t>. Le 21 juillet, à l</w:t>
      </w:r>
      <w:r w:rsidR="007F3E67" w:rsidRPr="007F3E67">
        <w:rPr>
          <w:lang w:val="fr-FR"/>
        </w:rPr>
        <w:t>’</w:t>
      </w:r>
      <w:r w:rsidRPr="007F3E67">
        <w:rPr>
          <w:lang w:val="fr-FR"/>
        </w:rPr>
        <w:t>aube, il fut transféré à la prison d</w:t>
      </w:r>
      <w:r w:rsidR="007F3E67" w:rsidRPr="007F3E67">
        <w:rPr>
          <w:lang w:val="fr-FR"/>
        </w:rPr>
        <w:t>’</w:t>
      </w:r>
      <w:r w:rsidRPr="007F3E67">
        <w:rPr>
          <w:lang w:val="fr-FR"/>
        </w:rPr>
        <w:t>Alexandrie.</w:t>
      </w:r>
    </w:p>
    <w:p w:rsidR="00E235F1" w:rsidRPr="007F3E67" w:rsidRDefault="00E235F1" w:rsidP="007F3E67">
      <w:pPr>
        <w:pStyle w:val="ECHRPara"/>
        <w:rPr>
          <w:szCs w:val="24"/>
          <w:lang w:val="fr-FR"/>
        </w:rPr>
      </w:pPr>
      <w:r w:rsidRPr="007F3E67">
        <w:rPr>
          <w:szCs w:val="24"/>
          <w:lang w:val="fr-FR"/>
        </w:rPr>
        <w:fldChar w:fldCharType="begin"/>
      </w:r>
      <w:r w:rsidRPr="007F3E67">
        <w:rPr>
          <w:szCs w:val="24"/>
          <w:lang w:val="fr-FR"/>
        </w:rPr>
        <w:instrText xml:space="preserve"> SEQ level0 \*arabic </w:instrText>
      </w:r>
      <w:r w:rsidRPr="007F3E67">
        <w:rPr>
          <w:szCs w:val="24"/>
          <w:lang w:val="fr-FR"/>
        </w:rPr>
        <w:fldChar w:fldCharType="separate"/>
      </w:r>
      <w:r w:rsidR="007F3E67" w:rsidRPr="007F3E67">
        <w:rPr>
          <w:noProof/>
          <w:szCs w:val="24"/>
          <w:lang w:val="fr-FR"/>
        </w:rPr>
        <w:t>43</w:t>
      </w:r>
      <w:r w:rsidRPr="007F3E67">
        <w:rPr>
          <w:szCs w:val="24"/>
          <w:lang w:val="fr-FR"/>
        </w:rPr>
        <w:fldChar w:fldCharType="end"/>
      </w:r>
      <w:r w:rsidRPr="007F3E67">
        <w:rPr>
          <w:szCs w:val="24"/>
          <w:lang w:val="fr-FR"/>
        </w:rPr>
        <w:t>.  M. Bertacchini fut arrêté l</w:t>
      </w:r>
      <w:r w:rsidR="007F3E67" w:rsidRPr="007F3E67">
        <w:rPr>
          <w:szCs w:val="24"/>
          <w:lang w:val="fr-FR"/>
        </w:rPr>
        <w:t>’</w:t>
      </w:r>
      <w:r w:rsidRPr="007F3E67">
        <w:rPr>
          <w:szCs w:val="24"/>
          <w:lang w:val="fr-FR"/>
        </w:rPr>
        <w:t>après-midi du 21 juillet. Arrivé à la caserne de Bolzaneto et placé dans une cellule avec d</w:t>
      </w:r>
      <w:r w:rsidR="007F3E67" w:rsidRPr="007F3E67">
        <w:rPr>
          <w:szCs w:val="24"/>
          <w:lang w:val="fr-FR"/>
        </w:rPr>
        <w:t>’</w:t>
      </w:r>
      <w:r w:rsidRPr="007F3E67">
        <w:rPr>
          <w:szCs w:val="24"/>
          <w:lang w:val="fr-FR"/>
        </w:rPr>
        <w:t>autres personnes arrêtées, il fut contraint de rester pendant plusieurs heures sans bouger, jambes écartées, bras en l</w:t>
      </w:r>
      <w:r w:rsidR="007F3E67" w:rsidRPr="007F3E67">
        <w:rPr>
          <w:szCs w:val="24"/>
          <w:lang w:val="fr-FR"/>
        </w:rPr>
        <w:t>’</w:t>
      </w:r>
      <w:r w:rsidRPr="007F3E67">
        <w:rPr>
          <w:szCs w:val="24"/>
          <w:lang w:val="fr-FR"/>
        </w:rPr>
        <w:t>air et face contre le mur, par moments même sur la pointe des pieds. Il vit des agents passer à tabac d</w:t>
      </w:r>
      <w:r w:rsidR="007F3E67" w:rsidRPr="007F3E67">
        <w:rPr>
          <w:szCs w:val="24"/>
          <w:lang w:val="fr-FR"/>
        </w:rPr>
        <w:t>’</w:t>
      </w:r>
      <w:r w:rsidRPr="007F3E67">
        <w:rPr>
          <w:szCs w:val="24"/>
          <w:lang w:val="fr-FR"/>
        </w:rPr>
        <w:t xml:space="preserve">autres </w:t>
      </w:r>
      <w:r w:rsidRPr="007F3E67">
        <w:rPr>
          <w:lang w:val="fr-FR"/>
        </w:rPr>
        <w:t>personnes arrêtées</w:t>
      </w:r>
      <w:r w:rsidRPr="007F3E67">
        <w:rPr>
          <w:szCs w:val="24"/>
          <w:lang w:val="fr-FR"/>
        </w:rPr>
        <w:t xml:space="preserve">. Dans la nuit du 21 au 22 juillet, du gaz irritant </w:t>
      </w:r>
      <w:r w:rsidR="00F869EF" w:rsidRPr="007F3E67">
        <w:rPr>
          <w:szCs w:val="24"/>
          <w:lang w:val="fr-FR"/>
        </w:rPr>
        <w:t xml:space="preserve">fut vaporisé </w:t>
      </w:r>
      <w:r w:rsidRPr="007F3E67">
        <w:rPr>
          <w:szCs w:val="24"/>
          <w:lang w:val="fr-FR"/>
        </w:rPr>
        <w:t>dans la cellule</w:t>
      </w:r>
      <w:r w:rsidR="00953B6F" w:rsidRPr="007F3E67">
        <w:rPr>
          <w:szCs w:val="24"/>
          <w:lang w:val="fr-FR"/>
        </w:rPr>
        <w:t xml:space="preserve"> où il se trouvait</w:t>
      </w:r>
      <w:r w:rsidRPr="007F3E67">
        <w:rPr>
          <w:szCs w:val="24"/>
          <w:lang w:val="fr-FR"/>
        </w:rPr>
        <w:t>, ce qui causa des nausées, des problèmes respiratoires et des irritations à tous les occupants. Avant d</w:t>
      </w:r>
      <w:r w:rsidR="007F3E67" w:rsidRPr="007F3E67">
        <w:rPr>
          <w:szCs w:val="24"/>
          <w:lang w:val="fr-FR"/>
        </w:rPr>
        <w:t>’</w:t>
      </w:r>
      <w:r w:rsidRPr="007F3E67">
        <w:rPr>
          <w:szCs w:val="24"/>
          <w:lang w:val="fr-FR"/>
        </w:rPr>
        <w:t>être soumis à une visite médicale, le requérant fut frappé dans le dos et sur les hanches. Le 22 juillet, à midi, il fut transféré à la prison d</w:t>
      </w:r>
      <w:r w:rsidR="007F3E67" w:rsidRPr="007F3E67">
        <w:rPr>
          <w:szCs w:val="24"/>
          <w:lang w:val="fr-FR"/>
        </w:rPr>
        <w:t>’</w:t>
      </w:r>
      <w:r w:rsidRPr="007F3E67">
        <w:rPr>
          <w:szCs w:val="24"/>
          <w:lang w:val="fr-FR"/>
        </w:rPr>
        <w:t>Alexandrie.</w:t>
      </w:r>
    </w:p>
    <w:p w:rsidR="00E235F1" w:rsidRPr="007F3E67" w:rsidRDefault="00E235F1" w:rsidP="007F3E67">
      <w:pPr>
        <w:pStyle w:val="ECHRPara"/>
        <w:rPr>
          <w:szCs w:val="24"/>
          <w:lang w:val="fr-FR"/>
        </w:rPr>
      </w:pPr>
      <w:r w:rsidRPr="007F3E67">
        <w:rPr>
          <w:lang w:val="fr-FR"/>
        </w:rPr>
        <w:fldChar w:fldCharType="begin"/>
      </w:r>
      <w:r w:rsidRPr="007F3E67">
        <w:rPr>
          <w:lang w:val="fr-FR"/>
        </w:rPr>
        <w:instrText xml:space="preserve"> SEQ level0 \*arabic </w:instrText>
      </w:r>
      <w:r w:rsidRPr="007F3E67">
        <w:rPr>
          <w:lang w:val="fr-FR"/>
        </w:rPr>
        <w:fldChar w:fldCharType="separate"/>
      </w:r>
      <w:r w:rsidR="007F3E67" w:rsidRPr="007F3E67">
        <w:rPr>
          <w:noProof/>
          <w:lang w:val="fr-FR"/>
        </w:rPr>
        <w:t>44</w:t>
      </w:r>
      <w:r w:rsidRPr="007F3E67">
        <w:rPr>
          <w:lang w:val="fr-FR"/>
        </w:rPr>
        <w:fldChar w:fldCharType="end"/>
      </w:r>
      <w:r w:rsidRPr="007F3E67">
        <w:rPr>
          <w:lang w:val="fr-FR"/>
        </w:rPr>
        <w:t>.  M</w:t>
      </w:r>
      <w:r w:rsidRPr="007F3E67">
        <w:rPr>
          <w:rFonts w:ascii="Times New (W1)" w:hAnsi="Times New (W1)"/>
          <w:vertAlign w:val="superscript"/>
          <w:lang w:val="fr-FR"/>
        </w:rPr>
        <w:t>me</w:t>
      </w:r>
      <w:r w:rsidRPr="007F3E67">
        <w:rPr>
          <w:szCs w:val="24"/>
          <w:lang w:val="fr-FR"/>
        </w:rPr>
        <w:t xml:space="preserve"> Flagelli fut arrêtée le 21 juillet dans le camping de la </w:t>
      </w:r>
      <w:r w:rsidR="007F3E67" w:rsidRPr="007F3E67">
        <w:rPr>
          <w:szCs w:val="24"/>
          <w:lang w:val="fr-FR"/>
        </w:rPr>
        <w:t>rue Maggio</w:t>
      </w:r>
      <w:r w:rsidRPr="007F3E67">
        <w:rPr>
          <w:szCs w:val="24"/>
          <w:lang w:val="fr-FR"/>
        </w:rPr>
        <w:t xml:space="preserve">. Arrivée à la caserne de Bolzaneto, elle dut attendre debout dans la cour en plein soleil et fut insultée. Placée dans une cellule, où lui parvenaient de temps en temps les airs de </w:t>
      </w:r>
      <w:r w:rsidR="00F869EF" w:rsidRPr="007F3E67">
        <w:rPr>
          <w:szCs w:val="24"/>
          <w:lang w:val="fr-FR"/>
        </w:rPr>
        <w:t xml:space="preserve">chants </w:t>
      </w:r>
      <w:r w:rsidRPr="007F3E67">
        <w:rPr>
          <w:szCs w:val="24"/>
          <w:lang w:val="fr-FR"/>
        </w:rPr>
        <w:t>fascistes, elle fut obligée</w:t>
      </w:r>
      <w:r w:rsidR="00F869EF" w:rsidRPr="007F3E67">
        <w:rPr>
          <w:szCs w:val="24"/>
          <w:lang w:val="fr-FR"/>
        </w:rPr>
        <w:t xml:space="preserve"> d</w:t>
      </w:r>
      <w:r w:rsidR="007F3E67" w:rsidRPr="007F3E67">
        <w:rPr>
          <w:szCs w:val="24"/>
          <w:lang w:val="fr-FR"/>
        </w:rPr>
        <w:t>’</w:t>
      </w:r>
      <w:r w:rsidR="00F869EF" w:rsidRPr="007F3E67">
        <w:rPr>
          <w:szCs w:val="24"/>
          <w:lang w:val="fr-FR"/>
        </w:rPr>
        <w:t>écarter les jambes</w:t>
      </w:r>
      <w:r w:rsidRPr="007F3E67">
        <w:rPr>
          <w:szCs w:val="24"/>
          <w:lang w:val="fr-FR"/>
        </w:rPr>
        <w:t xml:space="preserve"> sous les coups </w:t>
      </w:r>
      <w:r w:rsidR="00F869EF" w:rsidRPr="007F3E67">
        <w:rPr>
          <w:szCs w:val="24"/>
          <w:lang w:val="fr-FR"/>
        </w:rPr>
        <w:t>qu</w:t>
      </w:r>
      <w:r w:rsidR="007F3E67" w:rsidRPr="007F3E67">
        <w:rPr>
          <w:szCs w:val="24"/>
          <w:lang w:val="fr-FR"/>
        </w:rPr>
        <w:t>’</w:t>
      </w:r>
      <w:r w:rsidR="00F869EF" w:rsidRPr="007F3E67">
        <w:rPr>
          <w:szCs w:val="24"/>
          <w:lang w:val="fr-FR"/>
        </w:rPr>
        <w:t>on lui donnait et</w:t>
      </w:r>
      <w:r w:rsidRPr="007F3E67">
        <w:rPr>
          <w:szCs w:val="24"/>
          <w:lang w:val="fr-FR"/>
        </w:rPr>
        <w:t xml:space="preserve"> de rester pendant plusieurs heures dans cette position, les bras en l</w:t>
      </w:r>
      <w:r w:rsidR="007F3E67" w:rsidRPr="007F3E67">
        <w:rPr>
          <w:szCs w:val="24"/>
          <w:lang w:val="fr-FR"/>
        </w:rPr>
        <w:t>’</w:t>
      </w:r>
      <w:r w:rsidRPr="007F3E67">
        <w:rPr>
          <w:szCs w:val="24"/>
          <w:lang w:val="fr-FR"/>
        </w:rPr>
        <w:t xml:space="preserve">air. Dans la nuit du 21 au 22 juillet, du </w:t>
      </w:r>
      <w:r w:rsidRPr="007F3E67">
        <w:rPr>
          <w:lang w:val="fr-FR"/>
        </w:rPr>
        <w:t>gaz irritant</w:t>
      </w:r>
      <w:r w:rsidRPr="007F3E67">
        <w:rPr>
          <w:szCs w:val="24"/>
          <w:lang w:val="fr-FR"/>
        </w:rPr>
        <w:t xml:space="preserve"> fut vaporisé dans la cellule où se trouvait la requérante, ce qui causa des nausées, des problèmes respiratoires et des irritations à tous les occupants. Une autre </w:t>
      </w:r>
      <w:r w:rsidRPr="007F3E67">
        <w:rPr>
          <w:lang w:val="fr-FR"/>
        </w:rPr>
        <w:t>personne arrêtée</w:t>
      </w:r>
      <w:r w:rsidRPr="007F3E67">
        <w:rPr>
          <w:szCs w:val="24"/>
          <w:lang w:val="fr-FR"/>
        </w:rPr>
        <w:t xml:space="preserve"> ayant reçu des feuilles de papier journal au lieu des serviettes hygiéniques qu</w:t>
      </w:r>
      <w:r w:rsidR="007F3E67" w:rsidRPr="007F3E67">
        <w:rPr>
          <w:szCs w:val="24"/>
          <w:lang w:val="fr-FR"/>
        </w:rPr>
        <w:t>’</w:t>
      </w:r>
      <w:r w:rsidRPr="007F3E67">
        <w:rPr>
          <w:szCs w:val="24"/>
          <w:lang w:val="fr-FR"/>
        </w:rPr>
        <w:t>elle avait demandées, la requérante, effrayée et humiliée, s</w:t>
      </w:r>
      <w:r w:rsidR="007F3E67" w:rsidRPr="007F3E67">
        <w:rPr>
          <w:szCs w:val="24"/>
          <w:lang w:val="fr-FR"/>
        </w:rPr>
        <w:t>’</w:t>
      </w:r>
      <w:r w:rsidRPr="007F3E67">
        <w:rPr>
          <w:szCs w:val="24"/>
          <w:lang w:val="fr-FR"/>
        </w:rPr>
        <w:t>abstint de demander à son tour les protections hygiéniques dont elle avait besoin. Elle fut injuriée et menacée de viol par des agents</w:t>
      </w:r>
      <w:r w:rsidR="00F869EF" w:rsidRPr="007F3E67">
        <w:rPr>
          <w:szCs w:val="24"/>
          <w:lang w:val="fr-FR"/>
        </w:rPr>
        <w:t xml:space="preserve"> et</w:t>
      </w:r>
      <w:r w:rsidRPr="007F3E67">
        <w:rPr>
          <w:szCs w:val="24"/>
          <w:lang w:val="fr-FR"/>
        </w:rPr>
        <w:t xml:space="preserve"> elle assista aux sévices infligés à d</w:t>
      </w:r>
      <w:r w:rsidR="007F3E67" w:rsidRPr="007F3E67">
        <w:rPr>
          <w:szCs w:val="24"/>
          <w:lang w:val="fr-FR"/>
        </w:rPr>
        <w:t>’</w:t>
      </w:r>
      <w:r w:rsidRPr="007F3E67">
        <w:rPr>
          <w:szCs w:val="24"/>
          <w:lang w:val="fr-FR"/>
        </w:rPr>
        <w:t xml:space="preserve">autres </w:t>
      </w:r>
      <w:r w:rsidRPr="007F3E67">
        <w:rPr>
          <w:lang w:val="fr-FR"/>
        </w:rPr>
        <w:t>personnes arrêtées</w:t>
      </w:r>
      <w:r w:rsidRPr="007F3E67">
        <w:rPr>
          <w:szCs w:val="24"/>
          <w:lang w:val="fr-FR"/>
        </w:rPr>
        <w:t xml:space="preserve">. </w:t>
      </w:r>
      <w:r w:rsidR="00FD3D9A" w:rsidRPr="007F3E67">
        <w:rPr>
          <w:szCs w:val="24"/>
          <w:lang w:val="fr-FR"/>
        </w:rPr>
        <w:t>À</w:t>
      </w:r>
      <w:r w:rsidRPr="007F3E67">
        <w:rPr>
          <w:szCs w:val="24"/>
          <w:lang w:val="fr-FR"/>
        </w:rPr>
        <w:t xml:space="preserve"> l</w:t>
      </w:r>
      <w:r w:rsidR="007F3E67" w:rsidRPr="007F3E67">
        <w:rPr>
          <w:szCs w:val="24"/>
          <w:lang w:val="fr-FR"/>
        </w:rPr>
        <w:t>’</w:t>
      </w:r>
      <w:r w:rsidRPr="007F3E67">
        <w:rPr>
          <w:szCs w:val="24"/>
          <w:lang w:val="fr-FR"/>
        </w:rPr>
        <w:t>infirmerie, elle fut privée de tous ses bijoux et l</w:t>
      </w:r>
      <w:r w:rsidR="007F3E67" w:rsidRPr="007F3E67">
        <w:rPr>
          <w:szCs w:val="24"/>
          <w:lang w:val="fr-FR"/>
        </w:rPr>
        <w:t>’</w:t>
      </w:r>
      <w:r w:rsidRPr="007F3E67">
        <w:rPr>
          <w:szCs w:val="24"/>
          <w:lang w:val="fr-FR"/>
        </w:rPr>
        <w:t>on coupa la capuche de son gilet ; elle fut obligée d</w:t>
      </w:r>
      <w:r w:rsidR="007F3E67" w:rsidRPr="007F3E67">
        <w:rPr>
          <w:szCs w:val="24"/>
          <w:lang w:val="fr-FR"/>
        </w:rPr>
        <w:t>’</w:t>
      </w:r>
      <w:r w:rsidRPr="007F3E67">
        <w:rPr>
          <w:szCs w:val="24"/>
          <w:lang w:val="fr-FR"/>
        </w:rPr>
        <w:t>enlever tous ses piercings, même ceux des zones intimes, devant quatre ou cinq hommes. Le matin du 22 juillet, elle fut transférée dans une prison dont le nom n</w:t>
      </w:r>
      <w:r w:rsidR="007F3E67" w:rsidRPr="007F3E67">
        <w:rPr>
          <w:szCs w:val="24"/>
          <w:lang w:val="fr-FR"/>
        </w:rPr>
        <w:t>’</w:t>
      </w:r>
      <w:r w:rsidRPr="007F3E67">
        <w:rPr>
          <w:szCs w:val="24"/>
          <w:lang w:val="fr-FR"/>
        </w:rPr>
        <w:t>est pas précisé</w:t>
      </w:r>
      <w:r w:rsidR="00F869EF" w:rsidRPr="007F3E67">
        <w:rPr>
          <w:szCs w:val="24"/>
          <w:lang w:val="fr-FR"/>
        </w:rPr>
        <w:t xml:space="preserve"> dans le dossier</w:t>
      </w:r>
      <w:r w:rsidRPr="007F3E67">
        <w:rPr>
          <w:szCs w:val="24"/>
          <w:lang w:val="fr-FR"/>
        </w:rPr>
        <w:t>.</w:t>
      </w:r>
    </w:p>
    <w:p w:rsidR="00E235F1" w:rsidRPr="007F3E67" w:rsidRDefault="00E235F1" w:rsidP="007F3E67">
      <w:pPr>
        <w:pStyle w:val="ECHRPara"/>
        <w:rPr>
          <w:lang w:val="fr-FR"/>
        </w:rPr>
      </w:pPr>
      <w:r w:rsidRPr="007F3E67">
        <w:rPr>
          <w:lang w:val="fr-FR"/>
        </w:rPr>
        <w:fldChar w:fldCharType="begin"/>
      </w:r>
      <w:r w:rsidRPr="007F3E67">
        <w:rPr>
          <w:lang w:val="fr-FR"/>
        </w:rPr>
        <w:instrText xml:space="preserve"> SEQ level0 \*arabic </w:instrText>
      </w:r>
      <w:r w:rsidRPr="007F3E67">
        <w:rPr>
          <w:lang w:val="fr-FR"/>
        </w:rPr>
        <w:fldChar w:fldCharType="separate"/>
      </w:r>
      <w:r w:rsidR="007F3E67" w:rsidRPr="007F3E67">
        <w:rPr>
          <w:noProof/>
          <w:lang w:val="fr-FR"/>
        </w:rPr>
        <w:t>45</w:t>
      </w:r>
      <w:r w:rsidRPr="007F3E67">
        <w:rPr>
          <w:lang w:val="fr-FR"/>
        </w:rPr>
        <w:fldChar w:fldCharType="end"/>
      </w:r>
      <w:r w:rsidRPr="007F3E67">
        <w:rPr>
          <w:lang w:val="fr-FR"/>
        </w:rPr>
        <w:t>.  M</w:t>
      </w:r>
      <w:r w:rsidRPr="007F3E67">
        <w:rPr>
          <w:rFonts w:ascii="Times New (W1)" w:hAnsi="Times New (W1)"/>
          <w:vertAlign w:val="superscript"/>
          <w:lang w:val="fr-FR"/>
        </w:rPr>
        <w:t>me</w:t>
      </w:r>
      <w:r w:rsidRPr="007F3E67">
        <w:rPr>
          <w:szCs w:val="24"/>
          <w:lang w:val="fr-FR"/>
        </w:rPr>
        <w:t xml:space="preserve"> Franceschin fut arrêtée l</w:t>
      </w:r>
      <w:r w:rsidR="007F3E67" w:rsidRPr="007F3E67">
        <w:rPr>
          <w:szCs w:val="24"/>
          <w:lang w:val="fr-FR"/>
        </w:rPr>
        <w:t>’</w:t>
      </w:r>
      <w:r w:rsidRPr="007F3E67">
        <w:rPr>
          <w:szCs w:val="24"/>
          <w:lang w:val="fr-FR"/>
        </w:rPr>
        <w:t>après-midi du 21 juillet. Placée dans une cellule de la caserne de Bolzaneto, elle fut obligée de s</w:t>
      </w:r>
      <w:r w:rsidR="007F3E67" w:rsidRPr="007F3E67">
        <w:rPr>
          <w:szCs w:val="24"/>
          <w:lang w:val="fr-FR"/>
        </w:rPr>
        <w:t>’</w:t>
      </w:r>
      <w:r w:rsidRPr="007F3E67">
        <w:rPr>
          <w:szCs w:val="24"/>
          <w:lang w:val="fr-FR"/>
        </w:rPr>
        <w:t xml:space="preserve">asseoir par terre face contre le mur et de rester dans cette position pendant </w:t>
      </w:r>
      <w:r w:rsidR="00F869EF" w:rsidRPr="007F3E67">
        <w:rPr>
          <w:szCs w:val="24"/>
          <w:lang w:val="fr-FR"/>
        </w:rPr>
        <w:t>un certain laps de temps</w:t>
      </w:r>
      <w:r w:rsidRPr="007F3E67">
        <w:rPr>
          <w:szCs w:val="24"/>
          <w:lang w:val="fr-FR"/>
        </w:rPr>
        <w:t xml:space="preserve">, </w:t>
      </w:r>
      <w:r w:rsidR="00F869EF" w:rsidRPr="007F3E67">
        <w:rPr>
          <w:szCs w:val="24"/>
          <w:lang w:val="fr-FR"/>
        </w:rPr>
        <w:t>menacée</w:t>
      </w:r>
      <w:r w:rsidRPr="007F3E67">
        <w:rPr>
          <w:szCs w:val="24"/>
          <w:lang w:val="fr-FR"/>
        </w:rPr>
        <w:t xml:space="preserve">, si elle bougeait, de </w:t>
      </w:r>
      <w:r w:rsidR="00F869EF" w:rsidRPr="007F3E67">
        <w:rPr>
          <w:szCs w:val="24"/>
          <w:lang w:val="fr-FR"/>
        </w:rPr>
        <w:t xml:space="preserve">devoir </w:t>
      </w:r>
      <w:r w:rsidRPr="007F3E67">
        <w:rPr>
          <w:szCs w:val="24"/>
          <w:lang w:val="fr-FR"/>
        </w:rPr>
        <w:t xml:space="preserve">se tenir debout. Elle fut </w:t>
      </w:r>
      <w:r w:rsidR="00ED25EB" w:rsidRPr="007F3E67">
        <w:rPr>
          <w:szCs w:val="24"/>
          <w:lang w:val="fr-FR"/>
        </w:rPr>
        <w:t xml:space="preserve">traitée </w:t>
      </w:r>
      <w:r w:rsidRPr="007F3E67">
        <w:rPr>
          <w:szCs w:val="24"/>
          <w:lang w:val="fr-FR"/>
        </w:rPr>
        <w:t xml:space="preserve">à maintes reprises </w:t>
      </w:r>
      <w:r w:rsidR="00F869EF" w:rsidRPr="007F3E67">
        <w:rPr>
          <w:szCs w:val="24"/>
          <w:lang w:val="fr-FR"/>
        </w:rPr>
        <w:t xml:space="preserve">de </w:t>
      </w:r>
      <w:r w:rsidRPr="007F3E67">
        <w:rPr>
          <w:szCs w:val="24"/>
          <w:lang w:val="fr-FR"/>
        </w:rPr>
        <w:t>« putain »</w:t>
      </w:r>
      <w:r w:rsidR="00F869EF" w:rsidRPr="007F3E67">
        <w:rPr>
          <w:szCs w:val="24"/>
          <w:lang w:val="fr-FR"/>
        </w:rPr>
        <w:t xml:space="preserve"> et de</w:t>
      </w:r>
      <w:r w:rsidRPr="007F3E67">
        <w:rPr>
          <w:szCs w:val="24"/>
          <w:lang w:val="fr-FR"/>
        </w:rPr>
        <w:t xml:space="preserve"> « salope » dans la cellule et lors de son passage dans le couloir. Plusieurs agents se moquèrent de son T-shirt ; le médecin fit de même lors de la visite médicale, pendant que certains </w:t>
      </w:r>
      <w:r w:rsidR="00F869EF" w:rsidRPr="007F3E67">
        <w:rPr>
          <w:szCs w:val="24"/>
          <w:lang w:val="fr-FR"/>
        </w:rPr>
        <w:t xml:space="preserve">la </w:t>
      </w:r>
      <w:r w:rsidRPr="007F3E67">
        <w:rPr>
          <w:szCs w:val="24"/>
          <w:lang w:val="fr-FR"/>
        </w:rPr>
        <w:t>menaçaient de lui arracher ce maillot et de le déchirer. L</w:t>
      </w:r>
      <w:r w:rsidR="007F3E67" w:rsidRPr="007F3E67">
        <w:rPr>
          <w:szCs w:val="24"/>
          <w:lang w:val="fr-FR"/>
        </w:rPr>
        <w:t>’</w:t>
      </w:r>
      <w:r w:rsidRPr="007F3E67">
        <w:rPr>
          <w:szCs w:val="24"/>
          <w:lang w:val="fr-FR"/>
        </w:rPr>
        <w:t>intéressée fut privée de tous ses effets personnels (bijoux</w:t>
      </w:r>
      <w:r w:rsidR="00953B6F" w:rsidRPr="007F3E67">
        <w:rPr>
          <w:szCs w:val="24"/>
          <w:lang w:val="fr-FR"/>
        </w:rPr>
        <w:t xml:space="preserve"> et</w:t>
      </w:r>
      <w:r w:rsidRPr="007F3E67">
        <w:rPr>
          <w:szCs w:val="24"/>
          <w:lang w:val="fr-FR"/>
        </w:rPr>
        <w:t xml:space="preserve"> montre), qui furent laissés par terre et ne lui furent pas restitués ; ses boucles d</w:t>
      </w:r>
      <w:r w:rsidR="007F3E67" w:rsidRPr="007F3E67">
        <w:rPr>
          <w:szCs w:val="24"/>
          <w:lang w:val="fr-FR"/>
        </w:rPr>
        <w:t>’</w:t>
      </w:r>
      <w:r w:rsidRPr="007F3E67">
        <w:rPr>
          <w:szCs w:val="24"/>
          <w:lang w:val="fr-FR"/>
        </w:rPr>
        <w:t xml:space="preserve">oreilles, en particulier, lui furent arrachées avec une pince. Après la visite médicale, elle fut emmenée </w:t>
      </w:r>
      <w:r w:rsidRPr="007F3E67">
        <w:rPr>
          <w:szCs w:val="24"/>
          <w:lang w:val="fr-FR"/>
        </w:rPr>
        <w:lastRenderedPageBreak/>
        <w:t xml:space="preserve">de nouveau dans la cellule et obligée de rester debout face contre le mur pendant plusieurs heures. </w:t>
      </w:r>
      <w:r w:rsidRPr="007F3E67">
        <w:rPr>
          <w:lang w:val="fr-FR"/>
        </w:rPr>
        <w:t>Le 21 juillet, à l</w:t>
      </w:r>
      <w:r w:rsidR="007F3E67" w:rsidRPr="007F3E67">
        <w:rPr>
          <w:lang w:val="fr-FR"/>
        </w:rPr>
        <w:t>’</w:t>
      </w:r>
      <w:r w:rsidRPr="007F3E67">
        <w:rPr>
          <w:lang w:val="fr-FR"/>
        </w:rPr>
        <w:t>aube,</w:t>
      </w:r>
      <w:r w:rsidRPr="007F3E67">
        <w:rPr>
          <w:szCs w:val="24"/>
          <w:lang w:val="fr-FR"/>
        </w:rPr>
        <w:t xml:space="preserve"> elle </w:t>
      </w:r>
      <w:r w:rsidRPr="007F3E67">
        <w:rPr>
          <w:lang w:val="fr-FR"/>
        </w:rPr>
        <w:t>fut transférée à la prison d</w:t>
      </w:r>
      <w:r w:rsidR="007F3E67" w:rsidRPr="007F3E67">
        <w:rPr>
          <w:lang w:val="fr-FR"/>
        </w:rPr>
        <w:t>’</w:t>
      </w:r>
      <w:r w:rsidRPr="007F3E67">
        <w:rPr>
          <w:lang w:val="fr-FR"/>
        </w:rPr>
        <w:t>Alexandrie.</w:t>
      </w:r>
    </w:p>
    <w:p w:rsidR="00E235F1" w:rsidRPr="007F3E67" w:rsidRDefault="00E235F1" w:rsidP="007F3E67">
      <w:pPr>
        <w:pStyle w:val="ECHRPara"/>
        <w:rPr>
          <w:lang w:val="fr-FR"/>
        </w:rPr>
      </w:pPr>
      <w:r w:rsidRPr="007F3E67">
        <w:rPr>
          <w:lang w:val="fr-FR"/>
        </w:rPr>
        <w:fldChar w:fldCharType="begin"/>
      </w:r>
      <w:r w:rsidRPr="007F3E67">
        <w:rPr>
          <w:lang w:val="fr-FR"/>
        </w:rPr>
        <w:instrText xml:space="preserve"> SEQ level0 \*arabic </w:instrText>
      </w:r>
      <w:r w:rsidRPr="007F3E67">
        <w:rPr>
          <w:lang w:val="fr-FR"/>
        </w:rPr>
        <w:fldChar w:fldCharType="separate"/>
      </w:r>
      <w:r w:rsidR="007F3E67" w:rsidRPr="007F3E67">
        <w:rPr>
          <w:noProof/>
          <w:lang w:val="fr-FR"/>
        </w:rPr>
        <w:t>46</w:t>
      </w:r>
      <w:r w:rsidRPr="007F3E67">
        <w:rPr>
          <w:lang w:val="fr-FR"/>
        </w:rPr>
        <w:fldChar w:fldCharType="end"/>
      </w:r>
      <w:r w:rsidRPr="007F3E67">
        <w:rPr>
          <w:lang w:val="fr-FR"/>
        </w:rPr>
        <w:t>.  M</w:t>
      </w:r>
      <w:r w:rsidRPr="007F3E67">
        <w:rPr>
          <w:rFonts w:ascii="Times New (W1)" w:hAnsi="Times New (W1)"/>
          <w:vertAlign w:val="superscript"/>
          <w:lang w:val="fr-FR"/>
        </w:rPr>
        <w:t>me</w:t>
      </w:r>
      <w:r w:rsidRPr="007F3E67">
        <w:rPr>
          <w:szCs w:val="24"/>
          <w:lang w:val="fr-FR"/>
        </w:rPr>
        <w:t xml:space="preserve"> Jaeger </w:t>
      </w:r>
      <w:r w:rsidRPr="007F3E67">
        <w:rPr>
          <w:lang w:val="fr-FR"/>
        </w:rPr>
        <w:t>fut arrêtée à l</w:t>
      </w:r>
      <w:r w:rsidR="007F3E67" w:rsidRPr="007F3E67">
        <w:rPr>
          <w:lang w:val="fr-FR"/>
        </w:rPr>
        <w:t>’</w:t>
      </w:r>
      <w:r w:rsidRPr="007F3E67">
        <w:rPr>
          <w:lang w:val="fr-FR"/>
        </w:rPr>
        <w:t>école Diaz-Pertini et, malgré des ecchymoses et blessures visibles, elle fut emmenée directement à la caserne de Bolzaneto</w:t>
      </w:r>
      <w:r w:rsidRPr="007F3E67">
        <w:rPr>
          <w:szCs w:val="24"/>
          <w:lang w:val="fr-FR"/>
        </w:rPr>
        <w:t xml:space="preserve">. </w:t>
      </w:r>
      <w:r w:rsidRPr="007F3E67">
        <w:rPr>
          <w:lang w:val="fr-FR"/>
        </w:rPr>
        <w:t xml:space="preserve">Elle fut placée contre un mur dans la cour de la caserne </w:t>
      </w:r>
      <w:r w:rsidR="00F869EF" w:rsidRPr="007F3E67">
        <w:rPr>
          <w:lang w:val="fr-FR"/>
        </w:rPr>
        <w:t xml:space="preserve">dans une </w:t>
      </w:r>
      <w:r w:rsidRPr="007F3E67">
        <w:rPr>
          <w:lang w:val="fr-FR"/>
        </w:rPr>
        <w:t>position vexatoire, des agents lui demandant ironiquement de quel sexe elle était et se moquant d</w:t>
      </w:r>
      <w:r w:rsidR="007F3E67" w:rsidRPr="007F3E67">
        <w:rPr>
          <w:lang w:val="fr-FR"/>
        </w:rPr>
        <w:t>’</w:t>
      </w:r>
      <w:r w:rsidRPr="007F3E67">
        <w:rPr>
          <w:lang w:val="fr-FR"/>
        </w:rPr>
        <w:t>elle ; à l</w:t>
      </w:r>
      <w:r w:rsidR="007F3E67" w:rsidRPr="007F3E67">
        <w:rPr>
          <w:lang w:val="fr-FR"/>
        </w:rPr>
        <w:t>’</w:t>
      </w:r>
      <w:r w:rsidRPr="007F3E67">
        <w:rPr>
          <w:lang w:val="fr-FR"/>
        </w:rPr>
        <w:t xml:space="preserve">intérieur de la caserne, deux agentes la traitèrent de « lesbienne ». </w:t>
      </w:r>
      <w:r w:rsidR="00674509" w:rsidRPr="007F3E67">
        <w:rPr>
          <w:lang w:val="fr-FR"/>
        </w:rPr>
        <w:t>À</w:t>
      </w:r>
      <w:r w:rsidRPr="007F3E67">
        <w:rPr>
          <w:lang w:val="fr-FR"/>
        </w:rPr>
        <w:t xml:space="preserve"> l</w:t>
      </w:r>
      <w:r w:rsidR="007F3E67" w:rsidRPr="007F3E67">
        <w:rPr>
          <w:lang w:val="fr-FR"/>
        </w:rPr>
        <w:t>’</w:t>
      </w:r>
      <w:r w:rsidRPr="007F3E67">
        <w:rPr>
          <w:lang w:val="fr-FR"/>
        </w:rPr>
        <w:t>entrée de la caserne, on lui arracha son collier avec une tenaille. Emmenée dans une cellule, elle fut contrainte de se tenir jambes écartées et bras en l</w:t>
      </w:r>
      <w:r w:rsidR="007F3E67" w:rsidRPr="007F3E67">
        <w:rPr>
          <w:lang w:val="fr-FR"/>
        </w:rPr>
        <w:t>’</w:t>
      </w:r>
      <w:r w:rsidRPr="007F3E67">
        <w:rPr>
          <w:lang w:val="fr-FR"/>
        </w:rPr>
        <w:t xml:space="preserve">air, sous les coups et les crachats des agents. Dans le couloir, elle dut </w:t>
      </w:r>
      <w:r w:rsidR="00F869EF" w:rsidRPr="007F3E67">
        <w:rPr>
          <w:lang w:val="fr-FR"/>
        </w:rPr>
        <w:t xml:space="preserve">toujours </w:t>
      </w:r>
      <w:r w:rsidRPr="007F3E67">
        <w:rPr>
          <w:lang w:val="fr-FR"/>
        </w:rPr>
        <w:t xml:space="preserve">marcher </w:t>
      </w:r>
      <w:r w:rsidR="00F869EF" w:rsidRPr="007F3E67">
        <w:rPr>
          <w:lang w:val="fr-FR"/>
        </w:rPr>
        <w:t xml:space="preserve">la </w:t>
      </w:r>
      <w:r w:rsidRPr="007F3E67">
        <w:rPr>
          <w:lang w:val="fr-FR"/>
        </w:rPr>
        <w:t xml:space="preserve">tête baissée et </w:t>
      </w:r>
      <w:r w:rsidR="00F869EF" w:rsidRPr="007F3E67">
        <w:rPr>
          <w:lang w:val="fr-FR"/>
        </w:rPr>
        <w:t xml:space="preserve">les </w:t>
      </w:r>
      <w:r w:rsidRPr="007F3E67">
        <w:rPr>
          <w:lang w:val="fr-FR"/>
        </w:rPr>
        <w:t xml:space="preserve">mains sur la nuque, sous </w:t>
      </w:r>
      <w:r w:rsidR="00F869EF" w:rsidRPr="007F3E67">
        <w:rPr>
          <w:lang w:val="fr-FR"/>
        </w:rPr>
        <w:t xml:space="preserve">de </w:t>
      </w:r>
      <w:r w:rsidRPr="007F3E67">
        <w:rPr>
          <w:lang w:val="fr-FR"/>
        </w:rPr>
        <w:t xml:space="preserve">nombreuses injures. </w:t>
      </w:r>
      <w:r w:rsidR="00674509" w:rsidRPr="007F3E67">
        <w:rPr>
          <w:lang w:val="fr-FR"/>
        </w:rPr>
        <w:t>À</w:t>
      </w:r>
      <w:r w:rsidRPr="007F3E67">
        <w:rPr>
          <w:lang w:val="fr-FR"/>
        </w:rPr>
        <w:t xml:space="preserve"> l</w:t>
      </w:r>
      <w:r w:rsidR="007F3E67" w:rsidRPr="007F3E67">
        <w:rPr>
          <w:lang w:val="fr-FR"/>
        </w:rPr>
        <w:t>’</w:t>
      </w:r>
      <w:r w:rsidRPr="007F3E67">
        <w:rPr>
          <w:lang w:val="fr-FR"/>
        </w:rPr>
        <w:t>infirmerie, on l</w:t>
      </w:r>
      <w:r w:rsidR="007F3E67" w:rsidRPr="007F3E67">
        <w:rPr>
          <w:lang w:val="fr-FR"/>
        </w:rPr>
        <w:t>’</w:t>
      </w:r>
      <w:r w:rsidRPr="007F3E67">
        <w:rPr>
          <w:lang w:val="fr-FR"/>
        </w:rPr>
        <w:t>obligea à se dévêtir et à faire des pompes ; la requérante ayant dit qu</w:t>
      </w:r>
      <w:r w:rsidR="007F3E67" w:rsidRPr="007F3E67">
        <w:rPr>
          <w:lang w:val="fr-FR"/>
        </w:rPr>
        <w:t>’</w:t>
      </w:r>
      <w:r w:rsidRPr="007F3E67">
        <w:rPr>
          <w:lang w:val="fr-FR"/>
        </w:rPr>
        <w:t>elle avait faim, le médecin rétorqua, en criant, qu</w:t>
      </w:r>
      <w:r w:rsidR="007F3E67" w:rsidRPr="007F3E67">
        <w:rPr>
          <w:lang w:val="fr-FR"/>
        </w:rPr>
        <w:t>’</w:t>
      </w:r>
      <w:r w:rsidRPr="007F3E67">
        <w:rPr>
          <w:lang w:val="fr-FR"/>
        </w:rPr>
        <w:t xml:space="preserve">elle et les autres manifestants avaient détruit la ville de Gênes. Ensuite, elle fut emmenée dans un bureau </w:t>
      </w:r>
      <w:r w:rsidR="00F869EF" w:rsidRPr="007F3E67">
        <w:rPr>
          <w:lang w:val="fr-FR"/>
        </w:rPr>
        <w:t xml:space="preserve">où </w:t>
      </w:r>
      <w:r w:rsidRPr="007F3E67">
        <w:rPr>
          <w:lang w:val="fr-FR"/>
        </w:rPr>
        <w:t xml:space="preserve">on lui demanda de signer des documents rédigés en italien, en lui assurant que cela accélérerait sa remise en liberté. </w:t>
      </w:r>
      <w:r w:rsidR="00F869EF" w:rsidRPr="007F3E67">
        <w:rPr>
          <w:lang w:val="fr-FR"/>
        </w:rPr>
        <w:t>Elle</w:t>
      </w:r>
      <w:r w:rsidRPr="007F3E67">
        <w:rPr>
          <w:lang w:val="fr-FR"/>
        </w:rPr>
        <w:t xml:space="preserve"> ne fut </w:t>
      </w:r>
      <w:r w:rsidR="00F869EF" w:rsidRPr="007F3E67">
        <w:rPr>
          <w:lang w:val="fr-FR"/>
        </w:rPr>
        <w:t xml:space="preserve">à aucun moment </w:t>
      </w:r>
      <w:r w:rsidRPr="007F3E67">
        <w:rPr>
          <w:lang w:val="fr-FR"/>
        </w:rPr>
        <w:t>informée des raisons de son arrestation ni de son droit de prendre contact avec les autorités diplomatiques de son pays. Le 23 juillet, à l</w:t>
      </w:r>
      <w:r w:rsidR="007F3E67" w:rsidRPr="007F3E67">
        <w:rPr>
          <w:lang w:val="fr-FR"/>
        </w:rPr>
        <w:t>’</w:t>
      </w:r>
      <w:r w:rsidRPr="007F3E67">
        <w:rPr>
          <w:lang w:val="fr-FR"/>
        </w:rPr>
        <w:t>aube, elle fut transférée dans une prison dont le nom n</w:t>
      </w:r>
      <w:r w:rsidR="007F3E67" w:rsidRPr="007F3E67">
        <w:rPr>
          <w:lang w:val="fr-FR"/>
        </w:rPr>
        <w:t>’</w:t>
      </w:r>
      <w:r w:rsidRPr="007F3E67">
        <w:rPr>
          <w:lang w:val="fr-FR"/>
        </w:rPr>
        <w:t>est pas précisé</w:t>
      </w:r>
      <w:r w:rsidR="00F869EF" w:rsidRPr="007F3E67">
        <w:rPr>
          <w:lang w:val="fr-FR"/>
        </w:rPr>
        <w:t xml:space="preserve"> dans le dossier</w:t>
      </w:r>
      <w:r w:rsidRPr="007F3E67">
        <w:rPr>
          <w:lang w:val="fr-FR"/>
        </w:rPr>
        <w:t>.</w:t>
      </w:r>
    </w:p>
    <w:p w:rsidR="00E235F1" w:rsidRPr="007F3E67" w:rsidRDefault="00E235F1" w:rsidP="007F3E67">
      <w:pPr>
        <w:pStyle w:val="ECHRPara"/>
        <w:rPr>
          <w:szCs w:val="24"/>
          <w:lang w:val="fr-FR"/>
        </w:rPr>
      </w:pPr>
      <w:r w:rsidRPr="007F3E67">
        <w:rPr>
          <w:szCs w:val="24"/>
          <w:lang w:val="fr-FR"/>
        </w:rPr>
        <w:fldChar w:fldCharType="begin"/>
      </w:r>
      <w:r w:rsidRPr="007F3E67">
        <w:rPr>
          <w:szCs w:val="24"/>
          <w:lang w:val="fr-FR"/>
        </w:rPr>
        <w:instrText xml:space="preserve"> SEQ level0 \*arabic </w:instrText>
      </w:r>
      <w:r w:rsidRPr="007F3E67">
        <w:rPr>
          <w:szCs w:val="24"/>
          <w:lang w:val="fr-FR"/>
        </w:rPr>
        <w:fldChar w:fldCharType="separate"/>
      </w:r>
      <w:r w:rsidR="007F3E67" w:rsidRPr="007F3E67">
        <w:rPr>
          <w:noProof/>
          <w:szCs w:val="24"/>
          <w:lang w:val="fr-FR"/>
        </w:rPr>
        <w:t>47</w:t>
      </w:r>
      <w:r w:rsidRPr="007F3E67">
        <w:rPr>
          <w:szCs w:val="24"/>
          <w:lang w:val="fr-FR"/>
        </w:rPr>
        <w:fldChar w:fldCharType="end"/>
      </w:r>
      <w:r w:rsidRPr="007F3E67">
        <w:rPr>
          <w:szCs w:val="24"/>
          <w:lang w:val="fr-FR"/>
        </w:rPr>
        <w:t xml:space="preserve">.  M. Camandona fut arrêté le 21 juillet dans le camping de la </w:t>
      </w:r>
      <w:r w:rsidR="007F3E67" w:rsidRPr="007F3E67">
        <w:rPr>
          <w:szCs w:val="24"/>
          <w:lang w:val="fr-FR"/>
        </w:rPr>
        <w:t>rue Maggio</w:t>
      </w:r>
      <w:r w:rsidRPr="007F3E67">
        <w:rPr>
          <w:szCs w:val="24"/>
          <w:lang w:val="fr-FR"/>
        </w:rPr>
        <w:t>. Arrivé à la caserne de Bolzaneto, il dut attendre dans la cour, debout, en plein soleil, et fut frappé à la tête, insulté et menacé (« fils de pute, tu n</w:t>
      </w:r>
      <w:r w:rsidR="007F3E67" w:rsidRPr="007F3E67">
        <w:rPr>
          <w:szCs w:val="24"/>
          <w:lang w:val="fr-FR"/>
        </w:rPr>
        <w:t>’</w:t>
      </w:r>
      <w:r w:rsidRPr="007F3E67">
        <w:rPr>
          <w:szCs w:val="24"/>
          <w:lang w:val="fr-FR"/>
        </w:rPr>
        <w:t>as rien compris, où crois-tu que tu es ? »). Placé dans une cellule, il fut obligé de rester face contre le mur et bras en l</w:t>
      </w:r>
      <w:r w:rsidR="007F3E67" w:rsidRPr="007F3E67">
        <w:rPr>
          <w:szCs w:val="24"/>
          <w:lang w:val="fr-FR"/>
        </w:rPr>
        <w:t>’</w:t>
      </w:r>
      <w:r w:rsidRPr="007F3E67">
        <w:rPr>
          <w:szCs w:val="24"/>
          <w:lang w:val="fr-FR"/>
        </w:rPr>
        <w:t>air, par moments sur la pointe des pieds. Il fut frappé dans le dos, vraisemblablement à coups de matraque, et fut l</w:t>
      </w:r>
      <w:r w:rsidR="007F3E67" w:rsidRPr="007F3E67">
        <w:rPr>
          <w:szCs w:val="24"/>
          <w:lang w:val="fr-FR"/>
        </w:rPr>
        <w:t>’</w:t>
      </w:r>
      <w:r w:rsidRPr="007F3E67">
        <w:rPr>
          <w:szCs w:val="24"/>
          <w:lang w:val="fr-FR"/>
        </w:rPr>
        <w:t>objet de menaces (« on va te tuer ») et d</w:t>
      </w:r>
      <w:r w:rsidR="007F3E67" w:rsidRPr="007F3E67">
        <w:rPr>
          <w:szCs w:val="24"/>
          <w:lang w:val="fr-FR"/>
        </w:rPr>
        <w:t>’</w:t>
      </w:r>
      <w:r w:rsidRPr="007F3E67">
        <w:rPr>
          <w:szCs w:val="24"/>
          <w:lang w:val="fr-FR"/>
        </w:rPr>
        <w:t>injures (« anarchiste de merde », « connard de communiste »)</w:t>
      </w:r>
      <w:r w:rsidR="00C40A28" w:rsidRPr="007F3E67">
        <w:rPr>
          <w:szCs w:val="24"/>
          <w:lang w:val="fr-FR"/>
        </w:rPr>
        <w:t>.</w:t>
      </w:r>
      <w:r w:rsidRPr="007F3E67">
        <w:rPr>
          <w:szCs w:val="24"/>
          <w:lang w:val="fr-FR"/>
        </w:rPr>
        <w:t xml:space="preserve"> </w:t>
      </w:r>
      <w:r w:rsidR="00C40A28" w:rsidRPr="007F3E67">
        <w:rPr>
          <w:szCs w:val="24"/>
          <w:lang w:val="fr-FR"/>
        </w:rPr>
        <w:t>Il</w:t>
      </w:r>
      <w:r w:rsidRPr="007F3E67">
        <w:rPr>
          <w:szCs w:val="24"/>
          <w:lang w:val="fr-FR"/>
        </w:rPr>
        <w:t xml:space="preserve"> fut frappé et injurié </w:t>
      </w:r>
      <w:r w:rsidR="00C40A28" w:rsidRPr="007F3E67">
        <w:rPr>
          <w:szCs w:val="24"/>
          <w:lang w:val="fr-FR"/>
        </w:rPr>
        <w:t xml:space="preserve">à </w:t>
      </w:r>
      <w:r w:rsidRPr="007F3E67">
        <w:rPr>
          <w:szCs w:val="24"/>
          <w:lang w:val="fr-FR"/>
        </w:rPr>
        <w:t>chaque fois qu</w:t>
      </w:r>
      <w:r w:rsidR="007F3E67" w:rsidRPr="007F3E67">
        <w:rPr>
          <w:szCs w:val="24"/>
          <w:lang w:val="fr-FR"/>
        </w:rPr>
        <w:t>’</w:t>
      </w:r>
      <w:r w:rsidRPr="007F3E67">
        <w:rPr>
          <w:szCs w:val="24"/>
          <w:lang w:val="fr-FR"/>
        </w:rPr>
        <w:t xml:space="preserve">il essayait de changer de position. Il </w:t>
      </w:r>
      <w:r w:rsidRPr="007F3E67">
        <w:rPr>
          <w:lang w:val="fr-FR"/>
        </w:rPr>
        <w:t>dut également écouter des chants fascistes</w:t>
      </w:r>
      <w:r w:rsidRPr="007F3E67">
        <w:rPr>
          <w:szCs w:val="24"/>
          <w:lang w:val="fr-FR"/>
        </w:rPr>
        <w:t xml:space="preserve">. Dans la nuit du 21 au 22 juillet, du </w:t>
      </w:r>
      <w:r w:rsidRPr="007F3E67">
        <w:rPr>
          <w:lang w:val="fr-FR"/>
        </w:rPr>
        <w:t>gaz irritant</w:t>
      </w:r>
      <w:r w:rsidRPr="007F3E67">
        <w:rPr>
          <w:szCs w:val="24"/>
          <w:lang w:val="fr-FR"/>
        </w:rPr>
        <w:t xml:space="preserve"> fut vaporisé dans la cellule </w:t>
      </w:r>
      <w:r w:rsidR="00836F9C" w:rsidRPr="007F3E67">
        <w:rPr>
          <w:szCs w:val="24"/>
          <w:lang w:val="fr-FR"/>
        </w:rPr>
        <w:t>qu</w:t>
      </w:r>
      <w:r w:rsidR="007F3E67" w:rsidRPr="007F3E67">
        <w:rPr>
          <w:szCs w:val="24"/>
          <w:lang w:val="fr-FR"/>
        </w:rPr>
        <w:t>’</w:t>
      </w:r>
      <w:r w:rsidR="00836F9C" w:rsidRPr="007F3E67">
        <w:rPr>
          <w:szCs w:val="24"/>
          <w:lang w:val="fr-FR"/>
        </w:rPr>
        <w:t>il occupait</w:t>
      </w:r>
      <w:r w:rsidR="00C40A28" w:rsidRPr="007F3E67">
        <w:rPr>
          <w:szCs w:val="24"/>
          <w:lang w:val="fr-FR"/>
        </w:rPr>
        <w:t>.</w:t>
      </w:r>
      <w:r w:rsidRPr="007F3E67">
        <w:rPr>
          <w:szCs w:val="24"/>
          <w:lang w:val="fr-FR"/>
        </w:rPr>
        <w:t xml:space="preserve"> </w:t>
      </w:r>
      <w:r w:rsidR="00836F9C" w:rsidRPr="007F3E67">
        <w:rPr>
          <w:szCs w:val="24"/>
          <w:lang w:val="fr-FR"/>
        </w:rPr>
        <w:t>M. Camandona</w:t>
      </w:r>
      <w:r w:rsidR="00C40A28" w:rsidRPr="007F3E67">
        <w:rPr>
          <w:szCs w:val="24"/>
          <w:lang w:val="fr-FR"/>
        </w:rPr>
        <w:t xml:space="preserve"> </w:t>
      </w:r>
      <w:r w:rsidRPr="007F3E67">
        <w:rPr>
          <w:szCs w:val="24"/>
          <w:lang w:val="fr-FR"/>
        </w:rPr>
        <w:t xml:space="preserve">vit </w:t>
      </w:r>
      <w:r w:rsidR="00C40A28" w:rsidRPr="007F3E67">
        <w:rPr>
          <w:szCs w:val="24"/>
          <w:lang w:val="fr-FR"/>
        </w:rPr>
        <w:t xml:space="preserve">alors </w:t>
      </w:r>
      <w:r w:rsidRPr="007F3E67">
        <w:rPr>
          <w:szCs w:val="24"/>
          <w:lang w:val="fr-FR"/>
        </w:rPr>
        <w:t xml:space="preserve">une jeune </w:t>
      </w:r>
      <w:r w:rsidRPr="007F3E67">
        <w:rPr>
          <w:lang w:val="fr-FR"/>
        </w:rPr>
        <w:t xml:space="preserve">personne </w:t>
      </w:r>
      <w:r w:rsidRPr="007F3E67">
        <w:rPr>
          <w:szCs w:val="24"/>
          <w:lang w:val="fr-FR"/>
        </w:rPr>
        <w:t>vomir du sang et fut atteint à son tour de problèmes respiratoires. Le requérant vit également des agents frapper d</w:t>
      </w:r>
      <w:r w:rsidR="007F3E67" w:rsidRPr="007F3E67">
        <w:rPr>
          <w:szCs w:val="24"/>
          <w:lang w:val="fr-FR"/>
        </w:rPr>
        <w:t>’</w:t>
      </w:r>
      <w:r w:rsidRPr="007F3E67">
        <w:rPr>
          <w:szCs w:val="24"/>
          <w:lang w:val="fr-FR"/>
        </w:rPr>
        <w:t xml:space="preserve">autres </w:t>
      </w:r>
      <w:r w:rsidRPr="007F3E67">
        <w:rPr>
          <w:lang w:val="fr-FR"/>
        </w:rPr>
        <w:t>personnes arrêtées</w:t>
      </w:r>
      <w:r w:rsidRPr="007F3E67">
        <w:rPr>
          <w:szCs w:val="24"/>
          <w:lang w:val="fr-FR"/>
        </w:rPr>
        <w:t>, dont l</w:t>
      </w:r>
      <w:r w:rsidR="007F3E67" w:rsidRPr="007F3E67">
        <w:rPr>
          <w:szCs w:val="24"/>
          <w:lang w:val="fr-FR"/>
        </w:rPr>
        <w:t>’</w:t>
      </w:r>
      <w:r w:rsidRPr="007F3E67">
        <w:rPr>
          <w:szCs w:val="24"/>
          <w:lang w:val="fr-FR"/>
        </w:rPr>
        <w:t>une souffrait d</w:t>
      </w:r>
      <w:r w:rsidR="007F3E67" w:rsidRPr="007F3E67">
        <w:rPr>
          <w:szCs w:val="24"/>
          <w:lang w:val="fr-FR"/>
        </w:rPr>
        <w:t>’</w:t>
      </w:r>
      <w:r w:rsidRPr="007F3E67">
        <w:rPr>
          <w:szCs w:val="24"/>
          <w:lang w:val="fr-FR"/>
        </w:rPr>
        <w:t xml:space="preserve">un handicap à la jambe. Pendant la visite médicale, il fut à nouveau frappé, des agents </w:t>
      </w:r>
      <w:r w:rsidR="00C40A28" w:rsidRPr="007F3E67">
        <w:rPr>
          <w:szCs w:val="24"/>
          <w:lang w:val="fr-FR"/>
        </w:rPr>
        <w:t xml:space="preserve">incitant </w:t>
      </w:r>
      <w:r w:rsidRPr="007F3E67">
        <w:rPr>
          <w:szCs w:val="24"/>
          <w:lang w:val="fr-FR"/>
        </w:rPr>
        <w:t xml:space="preserve">des femmes à regarder à quel point il aurait été répugnant ; puis, ayant rectifié son nom que des agents avaient </w:t>
      </w:r>
      <w:r w:rsidR="00C40A28" w:rsidRPr="007F3E67">
        <w:rPr>
          <w:szCs w:val="24"/>
          <w:lang w:val="fr-FR"/>
        </w:rPr>
        <w:t>mal prononcé</w:t>
      </w:r>
      <w:r w:rsidRPr="007F3E67">
        <w:rPr>
          <w:szCs w:val="24"/>
          <w:lang w:val="fr-FR"/>
        </w:rPr>
        <w:t xml:space="preserve">, il </w:t>
      </w:r>
      <w:r w:rsidR="00836F9C" w:rsidRPr="007F3E67">
        <w:rPr>
          <w:szCs w:val="24"/>
          <w:lang w:val="fr-FR"/>
        </w:rPr>
        <w:t>reçut des</w:t>
      </w:r>
      <w:r w:rsidRPr="007F3E67">
        <w:rPr>
          <w:szCs w:val="24"/>
          <w:lang w:val="fr-FR"/>
        </w:rPr>
        <w:t xml:space="preserve"> coups de pied sur les fesses. Il dut se tenir tête baissée tout au long de sa détention. Le 22 juillet, à midi, il fut transféré à la prison d</w:t>
      </w:r>
      <w:r w:rsidR="007F3E67" w:rsidRPr="007F3E67">
        <w:rPr>
          <w:szCs w:val="24"/>
          <w:lang w:val="fr-FR"/>
        </w:rPr>
        <w:t>’</w:t>
      </w:r>
      <w:r w:rsidRPr="007F3E67">
        <w:rPr>
          <w:szCs w:val="24"/>
          <w:lang w:val="fr-FR"/>
        </w:rPr>
        <w:t>Alexandrie.</w:t>
      </w:r>
    </w:p>
    <w:p w:rsidR="00E235F1" w:rsidRPr="007F3E67" w:rsidRDefault="00E235F1" w:rsidP="007F3E67">
      <w:pPr>
        <w:pStyle w:val="ECHRPara"/>
        <w:rPr>
          <w:lang w:val="fr-FR"/>
        </w:rPr>
      </w:pPr>
      <w:r w:rsidRPr="007F3E67">
        <w:rPr>
          <w:szCs w:val="24"/>
          <w:lang w:val="fr-FR"/>
        </w:rPr>
        <w:fldChar w:fldCharType="begin"/>
      </w:r>
      <w:r w:rsidRPr="007F3E67">
        <w:rPr>
          <w:szCs w:val="24"/>
          <w:lang w:val="fr-FR"/>
        </w:rPr>
        <w:instrText xml:space="preserve"> SEQ level0 \*arabic </w:instrText>
      </w:r>
      <w:r w:rsidRPr="007F3E67">
        <w:rPr>
          <w:szCs w:val="24"/>
          <w:lang w:val="fr-FR"/>
        </w:rPr>
        <w:fldChar w:fldCharType="separate"/>
      </w:r>
      <w:r w:rsidR="007F3E67" w:rsidRPr="007F3E67">
        <w:rPr>
          <w:noProof/>
          <w:szCs w:val="24"/>
          <w:lang w:val="fr-FR"/>
        </w:rPr>
        <w:t>48</w:t>
      </w:r>
      <w:r w:rsidRPr="007F3E67">
        <w:rPr>
          <w:szCs w:val="24"/>
          <w:lang w:val="fr-FR"/>
        </w:rPr>
        <w:fldChar w:fldCharType="end"/>
      </w:r>
      <w:r w:rsidRPr="007F3E67">
        <w:rPr>
          <w:szCs w:val="24"/>
          <w:lang w:val="fr-FR"/>
        </w:rPr>
        <w:t xml:space="preserve">.  M. Von Unger </w:t>
      </w:r>
      <w:r w:rsidRPr="007F3E67">
        <w:rPr>
          <w:lang w:val="fr-FR"/>
        </w:rPr>
        <w:t>fut arrêté à l</w:t>
      </w:r>
      <w:r w:rsidR="007F3E67" w:rsidRPr="007F3E67">
        <w:rPr>
          <w:lang w:val="fr-FR"/>
        </w:rPr>
        <w:t>’</w:t>
      </w:r>
      <w:r w:rsidRPr="007F3E67">
        <w:rPr>
          <w:lang w:val="fr-FR"/>
        </w:rPr>
        <w:t xml:space="preserve">école Diaz-Pertini et emmené à la caserne de Bolzaneto dans la nuit du 21 au 22 juillet. </w:t>
      </w:r>
      <w:r w:rsidR="00674509" w:rsidRPr="007F3E67">
        <w:rPr>
          <w:lang w:val="fr-FR"/>
        </w:rPr>
        <w:t>À</w:t>
      </w:r>
      <w:r w:rsidRPr="007F3E67">
        <w:rPr>
          <w:lang w:val="fr-FR"/>
        </w:rPr>
        <w:t xml:space="preserve"> son arrivée à la caserne, il fut privé de tous ses effets personnels</w:t>
      </w:r>
      <w:r w:rsidR="00F54EAF" w:rsidRPr="007F3E67">
        <w:rPr>
          <w:lang w:val="fr-FR"/>
        </w:rPr>
        <w:t>.</w:t>
      </w:r>
      <w:r w:rsidRPr="007F3E67">
        <w:rPr>
          <w:lang w:val="fr-FR"/>
        </w:rPr>
        <w:t xml:space="preserve"> </w:t>
      </w:r>
      <w:r w:rsidR="00F54EAF" w:rsidRPr="007F3E67">
        <w:rPr>
          <w:lang w:val="fr-FR"/>
        </w:rPr>
        <w:t>U</w:t>
      </w:r>
      <w:r w:rsidRPr="007F3E67">
        <w:rPr>
          <w:lang w:val="fr-FR"/>
        </w:rPr>
        <w:t>n agent lui arracha une broche en forme d</w:t>
      </w:r>
      <w:r w:rsidR="007F3E67" w:rsidRPr="007F3E67">
        <w:rPr>
          <w:lang w:val="fr-FR"/>
        </w:rPr>
        <w:t>’</w:t>
      </w:r>
      <w:r w:rsidRPr="007F3E67">
        <w:rPr>
          <w:lang w:val="fr-FR"/>
        </w:rPr>
        <w:t>étoile rouge qu</w:t>
      </w:r>
      <w:r w:rsidR="007F3E67" w:rsidRPr="007F3E67">
        <w:rPr>
          <w:lang w:val="fr-FR"/>
        </w:rPr>
        <w:t>’</w:t>
      </w:r>
      <w:r w:rsidRPr="007F3E67">
        <w:rPr>
          <w:lang w:val="fr-FR"/>
        </w:rPr>
        <w:t xml:space="preserve">il portait sur sa veste et le traita de </w:t>
      </w:r>
      <w:r w:rsidRPr="007F3E67">
        <w:rPr>
          <w:lang w:val="fr-FR"/>
        </w:rPr>
        <w:lastRenderedPageBreak/>
        <w:t xml:space="preserve">« salaud de communiste ». Il dut rester </w:t>
      </w:r>
      <w:r w:rsidR="00ED25EB" w:rsidRPr="007F3E67">
        <w:rPr>
          <w:lang w:val="fr-FR"/>
        </w:rPr>
        <w:t xml:space="preserve">debout </w:t>
      </w:r>
      <w:r w:rsidRPr="007F3E67">
        <w:rPr>
          <w:lang w:val="fr-FR"/>
        </w:rPr>
        <w:t>pendant plusieurs heures, jambes écartées et bras en l</w:t>
      </w:r>
      <w:r w:rsidR="007F3E67" w:rsidRPr="007F3E67">
        <w:rPr>
          <w:lang w:val="fr-FR"/>
        </w:rPr>
        <w:t>’</w:t>
      </w:r>
      <w:r w:rsidRPr="007F3E67">
        <w:rPr>
          <w:lang w:val="fr-FR"/>
        </w:rPr>
        <w:t>air</w:t>
      </w:r>
      <w:r w:rsidR="00F54EAF" w:rsidRPr="007F3E67">
        <w:rPr>
          <w:lang w:val="fr-FR"/>
        </w:rPr>
        <w:t>.</w:t>
      </w:r>
      <w:r w:rsidRPr="007F3E67">
        <w:rPr>
          <w:lang w:val="fr-FR"/>
        </w:rPr>
        <w:t xml:space="preserve"> </w:t>
      </w:r>
      <w:r w:rsidR="00F54EAF" w:rsidRPr="007F3E67">
        <w:rPr>
          <w:lang w:val="fr-FR"/>
        </w:rPr>
        <w:t>I</w:t>
      </w:r>
      <w:r w:rsidRPr="007F3E67">
        <w:rPr>
          <w:lang w:val="fr-FR"/>
        </w:rPr>
        <w:t xml:space="preserve">l vit les souffrances des autres </w:t>
      </w:r>
      <w:r w:rsidR="00ED25EB" w:rsidRPr="007F3E67">
        <w:rPr>
          <w:lang w:val="fr-FR"/>
        </w:rPr>
        <w:t xml:space="preserve">personnes arrêtées </w:t>
      </w:r>
      <w:r w:rsidRPr="007F3E67">
        <w:rPr>
          <w:lang w:val="fr-FR"/>
        </w:rPr>
        <w:t>et entendit des cris provenant d</w:t>
      </w:r>
      <w:r w:rsidR="007F3E67" w:rsidRPr="007F3E67">
        <w:rPr>
          <w:lang w:val="fr-FR"/>
        </w:rPr>
        <w:t>’</w:t>
      </w:r>
      <w:r w:rsidRPr="007F3E67">
        <w:rPr>
          <w:lang w:val="fr-FR"/>
        </w:rPr>
        <w:t>autres cellules. Tout au long de sa détention, il fut frappé et insulté, surtout lorsqu</w:t>
      </w:r>
      <w:r w:rsidR="007F3E67" w:rsidRPr="007F3E67">
        <w:rPr>
          <w:lang w:val="fr-FR"/>
        </w:rPr>
        <w:t>’</w:t>
      </w:r>
      <w:r w:rsidRPr="007F3E67">
        <w:rPr>
          <w:lang w:val="fr-FR"/>
        </w:rPr>
        <w:t>il demanda à se rendre aux toilettes. Il s</w:t>
      </w:r>
      <w:r w:rsidR="007F3E67" w:rsidRPr="007F3E67">
        <w:rPr>
          <w:lang w:val="fr-FR"/>
        </w:rPr>
        <w:t>’</w:t>
      </w:r>
      <w:r w:rsidRPr="007F3E67">
        <w:rPr>
          <w:lang w:val="fr-FR"/>
        </w:rPr>
        <w:t>y rendit par un couloir qu</w:t>
      </w:r>
      <w:r w:rsidR="007F3E67" w:rsidRPr="007F3E67">
        <w:rPr>
          <w:lang w:val="fr-FR"/>
        </w:rPr>
        <w:t>’</w:t>
      </w:r>
      <w:r w:rsidRPr="007F3E67">
        <w:rPr>
          <w:lang w:val="fr-FR"/>
        </w:rPr>
        <w:t xml:space="preserve">il fut obligé de parcourir penché </w:t>
      </w:r>
      <w:r w:rsidR="00F54EAF" w:rsidRPr="007F3E67">
        <w:rPr>
          <w:lang w:val="fr-FR"/>
        </w:rPr>
        <w:t xml:space="preserve">en </w:t>
      </w:r>
      <w:r w:rsidRPr="007F3E67">
        <w:rPr>
          <w:lang w:val="fr-FR"/>
        </w:rPr>
        <w:t xml:space="preserve">avant, la tête baissée et les bras tordus dans le dos par un agent. Il dut utiliser les toilettes sans pouvoir </w:t>
      </w:r>
      <w:r w:rsidR="00ED25EB" w:rsidRPr="007F3E67">
        <w:rPr>
          <w:lang w:val="fr-FR"/>
        </w:rPr>
        <w:t xml:space="preserve">en </w:t>
      </w:r>
      <w:r w:rsidRPr="007F3E67">
        <w:rPr>
          <w:lang w:val="fr-FR"/>
        </w:rPr>
        <w:t>fermer la porte. Il ne put prendre contact ni avec les autorités diplomatiques de son pays ni avec sa famille. Il fut détenu à la caserne de Bolzaneto pendant environ trente heures.</w:t>
      </w:r>
    </w:p>
    <w:p w:rsidR="00E235F1" w:rsidRPr="007F3E67" w:rsidRDefault="00E235F1" w:rsidP="007F3E67">
      <w:pPr>
        <w:pStyle w:val="ECHRPara"/>
        <w:rPr>
          <w:lang w:val="fr-FR"/>
        </w:rPr>
      </w:pPr>
      <w:r w:rsidRPr="007F3E67">
        <w:rPr>
          <w:lang w:val="fr-FR"/>
        </w:rPr>
        <w:fldChar w:fldCharType="begin"/>
      </w:r>
      <w:r w:rsidRPr="007F3E67">
        <w:rPr>
          <w:lang w:val="fr-FR"/>
        </w:rPr>
        <w:instrText xml:space="preserve"> SEQ level0 \*arabic </w:instrText>
      </w:r>
      <w:r w:rsidRPr="007F3E67">
        <w:rPr>
          <w:lang w:val="fr-FR"/>
        </w:rPr>
        <w:fldChar w:fldCharType="separate"/>
      </w:r>
      <w:r w:rsidR="007F3E67" w:rsidRPr="007F3E67">
        <w:rPr>
          <w:noProof/>
          <w:lang w:val="fr-FR"/>
        </w:rPr>
        <w:t>49</w:t>
      </w:r>
      <w:r w:rsidRPr="007F3E67">
        <w:rPr>
          <w:lang w:val="fr-FR"/>
        </w:rPr>
        <w:fldChar w:fldCharType="end"/>
      </w:r>
      <w:r w:rsidRPr="007F3E67">
        <w:rPr>
          <w:lang w:val="fr-FR"/>
        </w:rPr>
        <w:t>.  Tous les requérants, à l</w:t>
      </w:r>
      <w:r w:rsidR="007F3E67" w:rsidRPr="007F3E67">
        <w:rPr>
          <w:lang w:val="fr-FR"/>
        </w:rPr>
        <w:t>’</w:t>
      </w:r>
      <w:r w:rsidRPr="007F3E67">
        <w:rPr>
          <w:lang w:val="fr-FR"/>
        </w:rPr>
        <w:t>exception de MM. Balbas, Lorente, Larroquelle et Bertacchini et de M</w:t>
      </w:r>
      <w:r w:rsidRPr="007F3E67">
        <w:rPr>
          <w:rFonts w:ascii="Times New (W1)" w:hAnsi="Times New (W1)"/>
          <w:vertAlign w:val="superscript"/>
          <w:lang w:val="fr-FR"/>
        </w:rPr>
        <w:t>mes</w:t>
      </w:r>
      <w:r w:rsidRPr="007F3E67">
        <w:rPr>
          <w:lang w:val="fr-FR"/>
        </w:rPr>
        <w:t xml:space="preserve"> Ender, Franceschin et Percivati, </w:t>
      </w:r>
      <w:r w:rsidR="00F54EAF" w:rsidRPr="007F3E67">
        <w:rPr>
          <w:lang w:val="fr-FR"/>
        </w:rPr>
        <w:t xml:space="preserve">soutiennent </w:t>
      </w:r>
      <w:r w:rsidRPr="007F3E67">
        <w:rPr>
          <w:lang w:val="fr-FR"/>
        </w:rPr>
        <w:t>avoir souffert du froid et de la faim à la caserne</w:t>
      </w:r>
      <w:r w:rsidR="00F54EAF" w:rsidRPr="007F3E67">
        <w:rPr>
          <w:lang w:val="fr-FR"/>
        </w:rPr>
        <w:t xml:space="preserve"> de Bolzaneto</w:t>
      </w:r>
      <w:r w:rsidRPr="007F3E67">
        <w:rPr>
          <w:lang w:val="fr-FR"/>
        </w:rPr>
        <w:t xml:space="preserve">. Ils </w:t>
      </w:r>
      <w:r w:rsidR="00F54EAF" w:rsidRPr="007F3E67">
        <w:rPr>
          <w:lang w:val="fr-FR"/>
        </w:rPr>
        <w:t>allèguent n</w:t>
      </w:r>
      <w:r w:rsidR="007F3E67" w:rsidRPr="007F3E67">
        <w:rPr>
          <w:lang w:val="fr-FR"/>
        </w:rPr>
        <w:t>’</w:t>
      </w:r>
      <w:r w:rsidR="00F54EAF" w:rsidRPr="007F3E67">
        <w:rPr>
          <w:lang w:val="fr-FR"/>
        </w:rPr>
        <w:t xml:space="preserve">avoir </w:t>
      </w:r>
      <w:r w:rsidRPr="007F3E67">
        <w:rPr>
          <w:lang w:val="fr-FR"/>
        </w:rPr>
        <w:t>reçu des couvertures, de la nourriture et de l</w:t>
      </w:r>
      <w:r w:rsidR="007F3E67" w:rsidRPr="007F3E67">
        <w:rPr>
          <w:lang w:val="fr-FR"/>
        </w:rPr>
        <w:t>’</w:t>
      </w:r>
      <w:r w:rsidRPr="007F3E67">
        <w:rPr>
          <w:lang w:val="fr-FR"/>
        </w:rPr>
        <w:t>eau que très tardivement et en quantité insuffisante.</w:t>
      </w:r>
    </w:p>
    <w:bookmarkStart w:id="2" w:name="Reconstruction_FAITS_FIN"/>
    <w:p w:rsidR="00E235F1" w:rsidRPr="007F3E67" w:rsidRDefault="00E235F1" w:rsidP="007F3E67">
      <w:pPr>
        <w:pStyle w:val="ECHRPara"/>
        <w:rPr>
          <w:lang w:val="fr-FR"/>
        </w:rPr>
      </w:pPr>
      <w:r w:rsidRPr="007F3E67">
        <w:rPr>
          <w:lang w:val="fr-FR"/>
        </w:rPr>
        <w:fldChar w:fldCharType="begin"/>
      </w:r>
      <w:r w:rsidRPr="007F3E67">
        <w:rPr>
          <w:lang w:val="fr-FR"/>
        </w:rPr>
        <w:instrText xml:space="preserve"> SEQ level0 \*arabic </w:instrText>
      </w:r>
      <w:r w:rsidRPr="007F3E67">
        <w:rPr>
          <w:lang w:val="fr-FR"/>
        </w:rPr>
        <w:fldChar w:fldCharType="separate"/>
      </w:r>
      <w:r w:rsidR="007F3E67" w:rsidRPr="007F3E67">
        <w:rPr>
          <w:noProof/>
          <w:lang w:val="fr-FR"/>
        </w:rPr>
        <w:t>50</w:t>
      </w:r>
      <w:r w:rsidRPr="007F3E67">
        <w:rPr>
          <w:lang w:val="fr-FR"/>
        </w:rPr>
        <w:fldChar w:fldCharType="end"/>
      </w:r>
      <w:bookmarkEnd w:id="2"/>
      <w:r w:rsidRPr="007F3E67">
        <w:rPr>
          <w:lang w:val="fr-FR"/>
        </w:rPr>
        <w:t>.  Toutes les poursuites engagées contre les requérants pour les faits à l</w:t>
      </w:r>
      <w:r w:rsidR="007F3E67" w:rsidRPr="007F3E67">
        <w:rPr>
          <w:lang w:val="fr-FR"/>
        </w:rPr>
        <w:t>’</w:t>
      </w:r>
      <w:r w:rsidRPr="007F3E67">
        <w:rPr>
          <w:lang w:val="fr-FR"/>
        </w:rPr>
        <w:t>origine de leur arrestation ont abouti à leur acquittement.</w:t>
      </w:r>
    </w:p>
    <w:p w:rsidR="00E235F1" w:rsidRPr="007F3E67" w:rsidRDefault="00A97EF9" w:rsidP="007F3E67">
      <w:pPr>
        <w:pStyle w:val="ECHRHeading2"/>
        <w:rPr>
          <w:lang w:val="fr-FR"/>
        </w:rPr>
      </w:pPr>
      <w:r w:rsidRPr="007F3E67">
        <w:rPr>
          <w:lang w:val="fr-FR"/>
        </w:rPr>
        <w:t>C</w:t>
      </w:r>
      <w:r w:rsidR="00E235F1" w:rsidRPr="007F3E67">
        <w:rPr>
          <w:rStyle w:val="JuHAChar0"/>
          <w:b/>
          <w:bCs/>
          <w:lang w:val="fr-FR"/>
        </w:rPr>
        <w:t>.</w:t>
      </w:r>
      <w:r w:rsidR="002E5BF7" w:rsidRPr="007F3E67">
        <w:rPr>
          <w:rStyle w:val="JuHAChar0"/>
          <w:b/>
          <w:bCs/>
          <w:lang w:val="fr-FR"/>
        </w:rPr>
        <w:t>  </w:t>
      </w:r>
      <w:r w:rsidR="00E235F1" w:rsidRPr="007F3E67">
        <w:rPr>
          <w:rStyle w:val="JuHAChar0"/>
          <w:b/>
          <w:bCs/>
          <w:lang w:val="fr-FR"/>
        </w:rPr>
        <w:t>La procédure pénale engagée contre des membres des forces de l</w:t>
      </w:r>
      <w:r w:rsidR="007F3E67" w:rsidRPr="007F3E67">
        <w:rPr>
          <w:rStyle w:val="JuHAChar0"/>
          <w:b/>
          <w:bCs/>
          <w:lang w:val="fr-FR"/>
        </w:rPr>
        <w:t>’</w:t>
      </w:r>
      <w:r w:rsidR="00E235F1" w:rsidRPr="007F3E67">
        <w:rPr>
          <w:rStyle w:val="JuHAChar0"/>
          <w:b/>
          <w:bCs/>
          <w:lang w:val="fr-FR"/>
        </w:rPr>
        <w:t>ordre pour les faits commis à la caserne de Bolzaneto</w:t>
      </w:r>
    </w:p>
    <w:p w:rsidR="00E235F1" w:rsidRPr="007F3E67" w:rsidRDefault="00E235F1" w:rsidP="007F3E67">
      <w:pPr>
        <w:pStyle w:val="ECHRPara"/>
        <w:rPr>
          <w:lang w:val="fr-FR"/>
        </w:rPr>
      </w:pPr>
      <w:r w:rsidRPr="007F3E67">
        <w:rPr>
          <w:lang w:val="fr-FR"/>
        </w:rPr>
        <w:fldChar w:fldCharType="begin"/>
      </w:r>
      <w:r w:rsidRPr="007F3E67">
        <w:rPr>
          <w:lang w:val="fr-FR"/>
        </w:rPr>
        <w:instrText xml:space="preserve"> SEQ level0 \*arabic </w:instrText>
      </w:r>
      <w:r w:rsidRPr="007F3E67">
        <w:rPr>
          <w:lang w:val="fr-FR"/>
        </w:rPr>
        <w:fldChar w:fldCharType="separate"/>
      </w:r>
      <w:r w:rsidR="007F3E67" w:rsidRPr="007F3E67">
        <w:rPr>
          <w:noProof/>
          <w:lang w:val="fr-FR"/>
        </w:rPr>
        <w:t>51</w:t>
      </w:r>
      <w:r w:rsidRPr="007F3E67">
        <w:rPr>
          <w:lang w:val="fr-FR"/>
        </w:rPr>
        <w:fldChar w:fldCharType="end"/>
      </w:r>
      <w:r w:rsidRPr="007F3E67">
        <w:rPr>
          <w:lang w:val="fr-FR"/>
        </w:rPr>
        <w:t>.  </w:t>
      </w:r>
      <w:r w:rsidR="00F50DAF" w:rsidRPr="007F3E67">
        <w:rPr>
          <w:lang w:val="fr-FR"/>
        </w:rPr>
        <w:t>À</w:t>
      </w:r>
      <w:r w:rsidRPr="007F3E67">
        <w:rPr>
          <w:lang w:val="fr-FR"/>
        </w:rPr>
        <w:t xml:space="preserve"> la suite des faits commis à la caserne de Bolzaneto, le parquet de Gênes entama des poursuites contre quarante-cinq personnes, parmi lesquelles un </w:t>
      </w:r>
      <w:r w:rsidR="002B7B6A" w:rsidRPr="007F3E67">
        <w:rPr>
          <w:lang w:val="fr-FR"/>
        </w:rPr>
        <w:t>préfet de police adjoint</w:t>
      </w:r>
      <w:r w:rsidR="00CF0DE2" w:rsidRPr="007F3E67">
        <w:rPr>
          <w:snapToGrid w:val="0"/>
          <w:lang w:val="fr-FR"/>
        </w:rPr>
        <w:t xml:space="preserve"> (</w:t>
      </w:r>
      <w:r w:rsidR="00CF0DE2" w:rsidRPr="007F3E67">
        <w:rPr>
          <w:i/>
          <w:snapToGrid w:val="0"/>
          <w:lang w:val="fr-FR"/>
        </w:rPr>
        <w:t>vice-questore aggiunto</w:t>
      </w:r>
      <w:r w:rsidR="00CF0DE2" w:rsidRPr="007F3E67">
        <w:rPr>
          <w:snapToGrid w:val="0"/>
          <w:lang w:val="fr-FR"/>
        </w:rPr>
        <w:t>)</w:t>
      </w:r>
      <w:r w:rsidRPr="007F3E67">
        <w:rPr>
          <w:lang w:val="fr-FR"/>
        </w:rPr>
        <w:t>, des</w:t>
      </w:r>
      <w:r w:rsidR="00C36221" w:rsidRPr="007F3E67">
        <w:rPr>
          <w:lang w:val="fr-FR"/>
        </w:rPr>
        <w:t xml:space="preserve"> membres de la police et de la police pénitentiaire, des</w:t>
      </w:r>
      <w:r w:rsidRPr="007F3E67">
        <w:rPr>
          <w:lang w:val="fr-FR"/>
        </w:rPr>
        <w:t xml:space="preserve"> carabiniers et des médecins</w:t>
      </w:r>
      <w:r w:rsidR="00723F76" w:rsidRPr="007F3E67">
        <w:rPr>
          <w:lang w:val="fr-FR"/>
        </w:rPr>
        <w:t xml:space="preserve"> de l</w:t>
      </w:r>
      <w:r w:rsidR="007F3E67" w:rsidRPr="007F3E67">
        <w:rPr>
          <w:lang w:val="fr-FR"/>
        </w:rPr>
        <w:t>’</w:t>
      </w:r>
      <w:r w:rsidR="00723F76" w:rsidRPr="007F3E67">
        <w:rPr>
          <w:lang w:val="fr-FR"/>
        </w:rPr>
        <w:t>administration pénitentiaire</w:t>
      </w:r>
      <w:r w:rsidRPr="007F3E67">
        <w:rPr>
          <w:lang w:val="fr-FR"/>
        </w:rPr>
        <w:t>. Les chefs d</w:t>
      </w:r>
      <w:r w:rsidR="007F3E67" w:rsidRPr="007F3E67">
        <w:rPr>
          <w:lang w:val="fr-FR"/>
        </w:rPr>
        <w:t>’</w:t>
      </w:r>
      <w:r w:rsidRPr="007F3E67">
        <w:rPr>
          <w:lang w:val="fr-FR"/>
        </w:rPr>
        <w:t xml:space="preserve">accusation retenus </w:t>
      </w:r>
      <w:r w:rsidR="00F646C8" w:rsidRPr="007F3E67">
        <w:rPr>
          <w:lang w:val="fr-FR"/>
        </w:rPr>
        <w:t xml:space="preserve">étaient </w:t>
      </w:r>
      <w:r w:rsidRPr="007F3E67">
        <w:rPr>
          <w:lang w:val="fr-FR"/>
        </w:rPr>
        <w:t>les suivants : abus d</w:t>
      </w:r>
      <w:r w:rsidR="007F3E67" w:rsidRPr="007F3E67">
        <w:rPr>
          <w:lang w:val="fr-FR"/>
        </w:rPr>
        <w:t>’</w:t>
      </w:r>
      <w:r w:rsidRPr="007F3E67">
        <w:rPr>
          <w:lang w:val="fr-FR"/>
        </w:rPr>
        <w:t>autorité publique, abus d</w:t>
      </w:r>
      <w:r w:rsidR="007F3E67" w:rsidRPr="007F3E67">
        <w:rPr>
          <w:lang w:val="fr-FR"/>
        </w:rPr>
        <w:t>’</w:t>
      </w:r>
      <w:r w:rsidRPr="007F3E67">
        <w:rPr>
          <w:lang w:val="fr-FR"/>
        </w:rPr>
        <w:t>autorité à l</w:t>
      </w:r>
      <w:r w:rsidR="007F3E67" w:rsidRPr="007F3E67">
        <w:rPr>
          <w:lang w:val="fr-FR"/>
        </w:rPr>
        <w:t>’</w:t>
      </w:r>
      <w:r w:rsidRPr="007F3E67">
        <w:rPr>
          <w:lang w:val="fr-FR"/>
        </w:rPr>
        <w:t xml:space="preserve">égard de personnes arrêtées ou détenues, coups et blessures, injures, violence, menaces, omission, recel de malfaiteurs et faux. Le </w:t>
      </w:r>
      <w:r w:rsidR="001B0EFD" w:rsidRPr="007F3E67">
        <w:rPr>
          <w:lang w:val="fr-FR"/>
        </w:rPr>
        <w:t>27 janvier 2005</w:t>
      </w:r>
      <w:r w:rsidRPr="007F3E67">
        <w:rPr>
          <w:lang w:val="fr-FR"/>
        </w:rPr>
        <w:t>, le parquet demanda le renvoi en jugement des inculpés. Les requérants et d</w:t>
      </w:r>
      <w:r w:rsidR="007F3E67" w:rsidRPr="007F3E67">
        <w:rPr>
          <w:lang w:val="fr-FR"/>
        </w:rPr>
        <w:t>’</w:t>
      </w:r>
      <w:r w:rsidRPr="007F3E67">
        <w:rPr>
          <w:lang w:val="fr-FR"/>
        </w:rPr>
        <w:t>autres personnes (155 au total) se constituèrent parties civiles.</w:t>
      </w:r>
    </w:p>
    <w:p w:rsidR="00E235F1" w:rsidRPr="007F3E67" w:rsidRDefault="00681EA4" w:rsidP="007F3E67">
      <w:pPr>
        <w:pStyle w:val="ECHRHeading3"/>
        <w:rPr>
          <w:lang w:val="fr-FR"/>
        </w:rPr>
      </w:pPr>
      <w:r w:rsidRPr="007F3E67">
        <w:rPr>
          <w:lang w:val="fr-FR"/>
        </w:rPr>
        <w:t>1.</w:t>
      </w:r>
      <w:r w:rsidR="00E235F1" w:rsidRPr="007F3E67">
        <w:rPr>
          <w:lang w:val="fr-FR"/>
        </w:rPr>
        <w:t>  Le jugement de première instance</w:t>
      </w:r>
    </w:p>
    <w:bookmarkStart w:id="3" w:name="I_Instance_CONDAMNATION"/>
    <w:p w:rsidR="004769B2" w:rsidRPr="007F3E67" w:rsidRDefault="00E235F1" w:rsidP="007F3E67">
      <w:pPr>
        <w:pStyle w:val="ECHRPara"/>
        <w:rPr>
          <w:lang w:val="fr-FR"/>
        </w:rPr>
      </w:pPr>
      <w:r w:rsidRPr="007F3E67">
        <w:rPr>
          <w:szCs w:val="24"/>
          <w:lang w:val="fr-FR"/>
        </w:rPr>
        <w:fldChar w:fldCharType="begin"/>
      </w:r>
      <w:r w:rsidRPr="007F3E67">
        <w:rPr>
          <w:szCs w:val="24"/>
          <w:lang w:val="fr-FR"/>
        </w:rPr>
        <w:instrText xml:space="preserve"> SEQ level0 \*arabic </w:instrText>
      </w:r>
      <w:r w:rsidRPr="007F3E67">
        <w:rPr>
          <w:szCs w:val="24"/>
          <w:lang w:val="fr-FR"/>
        </w:rPr>
        <w:fldChar w:fldCharType="separate"/>
      </w:r>
      <w:r w:rsidR="007F3E67" w:rsidRPr="007F3E67">
        <w:rPr>
          <w:noProof/>
          <w:szCs w:val="24"/>
          <w:lang w:val="fr-FR"/>
        </w:rPr>
        <w:t>52</w:t>
      </w:r>
      <w:r w:rsidRPr="007F3E67">
        <w:rPr>
          <w:szCs w:val="24"/>
          <w:lang w:val="fr-FR"/>
        </w:rPr>
        <w:fldChar w:fldCharType="end"/>
      </w:r>
      <w:bookmarkEnd w:id="3"/>
      <w:r w:rsidRPr="007F3E67">
        <w:rPr>
          <w:szCs w:val="24"/>
          <w:lang w:val="fr-FR"/>
        </w:rPr>
        <w:t xml:space="preserve">.  Par </w:t>
      </w:r>
      <w:r w:rsidR="00ED25EB" w:rsidRPr="007F3E67">
        <w:rPr>
          <w:szCs w:val="24"/>
          <w:lang w:val="fr-FR"/>
        </w:rPr>
        <w:t xml:space="preserve">le </w:t>
      </w:r>
      <w:r w:rsidRPr="007F3E67">
        <w:rPr>
          <w:szCs w:val="24"/>
          <w:lang w:val="fr-FR"/>
        </w:rPr>
        <w:t>jugement n</w:t>
      </w:r>
      <w:r w:rsidRPr="007F3E67">
        <w:rPr>
          <w:szCs w:val="24"/>
          <w:vertAlign w:val="superscript"/>
          <w:lang w:val="fr-FR"/>
        </w:rPr>
        <w:t>o</w:t>
      </w:r>
      <w:r w:rsidRPr="007F3E67">
        <w:rPr>
          <w:szCs w:val="24"/>
          <w:lang w:val="fr-FR"/>
        </w:rPr>
        <w:t xml:space="preserve"> 3119 du 14 juillet 2008, déposé le 27 novembre 2008, </w:t>
      </w:r>
      <w:r w:rsidRPr="007F3E67">
        <w:rPr>
          <w:lang w:val="fr-FR"/>
        </w:rPr>
        <w:t>le tribunal de Gênes condamna quinze des quarante-cinq accusés à des peines allant de neuf mois à cinq ans d</w:t>
      </w:r>
      <w:r w:rsidR="007F3E67" w:rsidRPr="007F3E67">
        <w:rPr>
          <w:lang w:val="fr-FR"/>
        </w:rPr>
        <w:t>’</w:t>
      </w:r>
      <w:r w:rsidR="003539A0" w:rsidRPr="007F3E67">
        <w:rPr>
          <w:lang w:val="fr-FR"/>
        </w:rPr>
        <w:t>emprisonnement</w:t>
      </w:r>
      <w:r w:rsidRPr="007F3E67">
        <w:rPr>
          <w:lang w:val="fr-FR"/>
        </w:rPr>
        <w:t xml:space="preserve"> assorties d</w:t>
      </w:r>
      <w:r w:rsidR="007F3E67" w:rsidRPr="007F3E67">
        <w:rPr>
          <w:lang w:val="fr-FR"/>
        </w:rPr>
        <w:t>’</w:t>
      </w:r>
      <w:r w:rsidRPr="007F3E67">
        <w:rPr>
          <w:lang w:val="fr-FR"/>
        </w:rPr>
        <w:t>une peine accessoire d</w:t>
      </w:r>
      <w:r w:rsidR="007F3E67" w:rsidRPr="007F3E67">
        <w:rPr>
          <w:lang w:val="fr-FR"/>
        </w:rPr>
        <w:t>’</w:t>
      </w:r>
      <w:r w:rsidRPr="007F3E67">
        <w:rPr>
          <w:lang w:val="fr-FR"/>
        </w:rPr>
        <w:t>interdiction temporaire d</w:t>
      </w:r>
      <w:r w:rsidR="007F3E67" w:rsidRPr="007F3E67">
        <w:rPr>
          <w:lang w:val="fr-FR"/>
        </w:rPr>
        <w:t>’</w:t>
      </w:r>
      <w:r w:rsidRPr="007F3E67">
        <w:rPr>
          <w:lang w:val="fr-FR"/>
        </w:rPr>
        <w:t>exercer des fonctions publiques (</w:t>
      </w:r>
      <w:r w:rsidRPr="007F3E67">
        <w:rPr>
          <w:i/>
          <w:iCs/>
          <w:lang w:val="fr-FR"/>
        </w:rPr>
        <w:t xml:space="preserve">interdizione dai </w:t>
      </w:r>
      <w:r w:rsidRPr="007F3E67">
        <w:rPr>
          <w:bCs/>
          <w:i/>
          <w:iCs/>
          <w:color w:val="000000"/>
          <w:lang w:val="fr-FR"/>
        </w:rPr>
        <w:t>pubblici</w:t>
      </w:r>
      <w:r w:rsidRPr="007F3E67">
        <w:rPr>
          <w:i/>
          <w:iCs/>
          <w:color w:val="000000"/>
          <w:lang w:val="fr-FR"/>
        </w:rPr>
        <w:t xml:space="preserve"> </w:t>
      </w:r>
      <w:r w:rsidRPr="007F3E67">
        <w:rPr>
          <w:bCs/>
          <w:i/>
          <w:iCs/>
          <w:color w:val="000000"/>
          <w:lang w:val="fr-FR"/>
        </w:rPr>
        <w:t>uffici</w:t>
      </w:r>
      <w:r w:rsidRPr="007F3E67">
        <w:rPr>
          <w:lang w:val="fr-FR"/>
        </w:rPr>
        <w:t>). Dix condamnés bénéficièrent d</w:t>
      </w:r>
      <w:r w:rsidR="007F3E67" w:rsidRPr="007F3E67">
        <w:rPr>
          <w:lang w:val="fr-FR"/>
        </w:rPr>
        <w:t>’</w:t>
      </w:r>
      <w:r w:rsidRPr="007F3E67">
        <w:rPr>
          <w:lang w:val="fr-FR"/>
        </w:rPr>
        <w:t>un sursis et de la non-</w:t>
      </w:r>
      <w:r w:rsidR="00836F9C" w:rsidRPr="007F3E67">
        <w:rPr>
          <w:lang w:val="fr-FR"/>
        </w:rPr>
        <w:t>inscription de la condamnation au</w:t>
      </w:r>
      <w:r w:rsidR="00F646C8" w:rsidRPr="007F3E67">
        <w:rPr>
          <w:lang w:val="fr-FR"/>
        </w:rPr>
        <w:t xml:space="preserve"> </w:t>
      </w:r>
      <w:r w:rsidRPr="007F3E67">
        <w:rPr>
          <w:lang w:val="fr-FR"/>
        </w:rPr>
        <w:t>casier judiciaire. Enfin, en application de la loi n</w:t>
      </w:r>
      <w:r w:rsidRPr="007F3E67">
        <w:rPr>
          <w:vertAlign w:val="superscript"/>
          <w:lang w:val="fr-FR"/>
        </w:rPr>
        <w:t>o</w:t>
      </w:r>
      <w:r w:rsidRPr="007F3E67">
        <w:rPr>
          <w:lang w:val="fr-FR"/>
        </w:rPr>
        <w:t xml:space="preserve"> 241 du 29 juillet 2006 </w:t>
      </w:r>
      <w:r w:rsidR="00F646C8" w:rsidRPr="007F3E67">
        <w:rPr>
          <w:lang w:val="fr-FR"/>
        </w:rPr>
        <w:t>relative aux</w:t>
      </w:r>
      <w:r w:rsidRPr="007F3E67">
        <w:rPr>
          <w:lang w:val="fr-FR"/>
        </w:rPr>
        <w:t xml:space="preserve"> conditions </w:t>
      </w:r>
      <w:r w:rsidR="00F646C8" w:rsidRPr="007F3E67">
        <w:rPr>
          <w:lang w:val="fr-FR"/>
        </w:rPr>
        <w:t>d</w:t>
      </w:r>
      <w:r w:rsidR="007F3E67" w:rsidRPr="007F3E67">
        <w:rPr>
          <w:lang w:val="fr-FR"/>
        </w:rPr>
        <w:t>’</w:t>
      </w:r>
      <w:r w:rsidRPr="007F3E67">
        <w:rPr>
          <w:lang w:val="fr-FR"/>
        </w:rPr>
        <w:t xml:space="preserve">octroi </w:t>
      </w:r>
      <w:r w:rsidR="00B63917" w:rsidRPr="007F3E67">
        <w:rPr>
          <w:lang w:val="fr-FR"/>
        </w:rPr>
        <w:t xml:space="preserve">de la </w:t>
      </w:r>
      <w:r w:rsidRPr="007F3E67">
        <w:rPr>
          <w:lang w:val="fr-FR"/>
        </w:rPr>
        <w:t>remise générale de peine (</w:t>
      </w:r>
      <w:r w:rsidRPr="007F3E67">
        <w:rPr>
          <w:i/>
          <w:iCs/>
          <w:lang w:val="fr-FR"/>
        </w:rPr>
        <w:t>indulto</w:t>
      </w:r>
      <w:r w:rsidRPr="007F3E67">
        <w:rPr>
          <w:lang w:val="fr-FR"/>
        </w:rPr>
        <w:t>), trois condamnés bénéficièrent d</w:t>
      </w:r>
      <w:r w:rsidR="007F3E67" w:rsidRPr="007F3E67">
        <w:rPr>
          <w:lang w:val="fr-FR"/>
        </w:rPr>
        <w:t>’</w:t>
      </w:r>
      <w:r w:rsidRPr="007F3E67">
        <w:rPr>
          <w:lang w:val="fr-FR"/>
        </w:rPr>
        <w:t xml:space="preserve">une remise totale de </w:t>
      </w:r>
      <w:r w:rsidR="00F646C8" w:rsidRPr="007F3E67">
        <w:rPr>
          <w:lang w:val="fr-FR"/>
        </w:rPr>
        <w:t xml:space="preserve">leur </w:t>
      </w:r>
      <w:r w:rsidRPr="007F3E67">
        <w:rPr>
          <w:lang w:val="fr-FR"/>
        </w:rPr>
        <w:t xml:space="preserve">peine </w:t>
      </w:r>
      <w:r w:rsidR="00C36221" w:rsidRPr="007F3E67">
        <w:rPr>
          <w:lang w:val="fr-FR"/>
        </w:rPr>
        <w:t>d</w:t>
      </w:r>
      <w:r w:rsidR="007F3E67" w:rsidRPr="007F3E67">
        <w:rPr>
          <w:lang w:val="fr-FR"/>
        </w:rPr>
        <w:t>’</w:t>
      </w:r>
      <w:r w:rsidR="00FF4DD3" w:rsidRPr="007F3E67">
        <w:rPr>
          <w:lang w:val="fr-FR"/>
        </w:rPr>
        <w:t>emprisonnement</w:t>
      </w:r>
      <w:r w:rsidRPr="007F3E67">
        <w:rPr>
          <w:lang w:val="fr-FR"/>
        </w:rPr>
        <w:t xml:space="preserve"> et deux </w:t>
      </w:r>
      <w:r w:rsidR="00E609D6" w:rsidRPr="007F3E67">
        <w:rPr>
          <w:lang w:val="fr-FR"/>
        </w:rPr>
        <w:t xml:space="preserve">autres, condamnés </w:t>
      </w:r>
      <w:r w:rsidR="00CF0DE2" w:rsidRPr="007F3E67">
        <w:rPr>
          <w:lang w:val="fr-FR"/>
        </w:rPr>
        <w:t>respectivement</w:t>
      </w:r>
      <w:r w:rsidR="00E609D6" w:rsidRPr="007F3E67">
        <w:rPr>
          <w:lang w:val="fr-FR"/>
        </w:rPr>
        <w:t xml:space="preserve"> à </w:t>
      </w:r>
      <w:r w:rsidR="004769B2" w:rsidRPr="007F3E67">
        <w:rPr>
          <w:lang w:val="fr-FR"/>
        </w:rPr>
        <w:t>trois</w:t>
      </w:r>
      <w:r w:rsidR="00E609D6" w:rsidRPr="007F3E67">
        <w:rPr>
          <w:lang w:val="fr-FR"/>
        </w:rPr>
        <w:t xml:space="preserve"> ans et </w:t>
      </w:r>
      <w:r w:rsidR="004769B2" w:rsidRPr="007F3E67">
        <w:rPr>
          <w:lang w:val="fr-FR"/>
        </w:rPr>
        <w:t>deux</w:t>
      </w:r>
      <w:r w:rsidR="00E609D6" w:rsidRPr="007F3E67">
        <w:rPr>
          <w:lang w:val="fr-FR"/>
        </w:rPr>
        <w:t xml:space="preserve"> mois et à </w:t>
      </w:r>
      <w:r w:rsidR="004769B2" w:rsidRPr="007F3E67">
        <w:rPr>
          <w:lang w:val="fr-FR"/>
        </w:rPr>
        <w:t>cinq</w:t>
      </w:r>
      <w:r w:rsidR="00E609D6" w:rsidRPr="007F3E67">
        <w:rPr>
          <w:lang w:val="fr-FR"/>
        </w:rPr>
        <w:t xml:space="preserve"> ans d</w:t>
      </w:r>
      <w:r w:rsidR="007F3E67" w:rsidRPr="007F3E67">
        <w:rPr>
          <w:lang w:val="fr-FR"/>
        </w:rPr>
        <w:t>’</w:t>
      </w:r>
      <w:r w:rsidR="00CF0DE2" w:rsidRPr="007F3E67">
        <w:rPr>
          <w:lang w:val="fr-FR"/>
        </w:rPr>
        <w:t>emprisonnement</w:t>
      </w:r>
      <w:r w:rsidR="00E609D6" w:rsidRPr="007F3E67">
        <w:rPr>
          <w:lang w:val="fr-FR"/>
        </w:rPr>
        <w:t>,</w:t>
      </w:r>
      <w:r w:rsidRPr="007F3E67">
        <w:rPr>
          <w:lang w:val="fr-FR"/>
        </w:rPr>
        <w:t xml:space="preserve"> d</w:t>
      </w:r>
      <w:r w:rsidR="007F3E67" w:rsidRPr="007F3E67">
        <w:rPr>
          <w:lang w:val="fr-FR"/>
        </w:rPr>
        <w:t>’</w:t>
      </w:r>
      <w:r w:rsidRPr="007F3E67">
        <w:rPr>
          <w:lang w:val="fr-FR"/>
        </w:rPr>
        <w:t xml:space="preserve">une remise </w:t>
      </w:r>
      <w:r w:rsidR="00C36221" w:rsidRPr="007F3E67">
        <w:rPr>
          <w:lang w:val="fr-FR"/>
        </w:rPr>
        <w:t xml:space="preserve">de peine </w:t>
      </w:r>
      <w:r w:rsidRPr="007F3E67">
        <w:rPr>
          <w:lang w:val="fr-FR"/>
        </w:rPr>
        <w:t>de trois ans.</w:t>
      </w:r>
    </w:p>
    <w:bookmarkStart w:id="4" w:name="CONSTITUTION_CONFIANCE"/>
    <w:p w:rsidR="00E235F1" w:rsidRPr="007F3E67" w:rsidRDefault="00E235F1" w:rsidP="007F3E67">
      <w:pPr>
        <w:pStyle w:val="ECHRPara"/>
        <w:rPr>
          <w:lang w:val="fr-FR"/>
        </w:rPr>
      </w:pPr>
      <w:r w:rsidRPr="007F3E67">
        <w:rPr>
          <w:lang w:val="fr-FR"/>
        </w:rPr>
        <w:lastRenderedPageBreak/>
        <w:fldChar w:fldCharType="begin"/>
      </w:r>
      <w:r w:rsidRPr="007F3E67">
        <w:rPr>
          <w:lang w:val="fr-FR"/>
        </w:rPr>
        <w:instrText xml:space="preserve"> SEQ level0 \*arabic </w:instrText>
      </w:r>
      <w:r w:rsidRPr="007F3E67">
        <w:rPr>
          <w:lang w:val="fr-FR"/>
        </w:rPr>
        <w:fldChar w:fldCharType="separate"/>
      </w:r>
      <w:r w:rsidR="007F3E67" w:rsidRPr="007F3E67">
        <w:rPr>
          <w:noProof/>
          <w:lang w:val="fr-FR"/>
        </w:rPr>
        <w:t>53</w:t>
      </w:r>
      <w:r w:rsidRPr="007F3E67">
        <w:rPr>
          <w:lang w:val="fr-FR"/>
        </w:rPr>
        <w:fldChar w:fldCharType="end"/>
      </w:r>
      <w:bookmarkEnd w:id="4"/>
      <w:r w:rsidRPr="007F3E67">
        <w:rPr>
          <w:lang w:val="fr-FR"/>
        </w:rPr>
        <w:t>.  </w:t>
      </w:r>
      <w:r w:rsidR="00F646C8" w:rsidRPr="007F3E67">
        <w:rPr>
          <w:lang w:val="fr-FR"/>
        </w:rPr>
        <w:t>Le tribunal</w:t>
      </w:r>
      <w:r w:rsidRPr="007F3E67">
        <w:rPr>
          <w:lang w:val="fr-FR"/>
        </w:rPr>
        <w:t xml:space="preserve"> estima </w:t>
      </w:r>
      <w:r w:rsidR="00F646C8" w:rsidRPr="007F3E67">
        <w:rPr>
          <w:lang w:val="fr-FR"/>
        </w:rPr>
        <w:t>tout d</w:t>
      </w:r>
      <w:r w:rsidR="007F3E67" w:rsidRPr="007F3E67">
        <w:rPr>
          <w:lang w:val="fr-FR"/>
        </w:rPr>
        <w:t>’</w:t>
      </w:r>
      <w:r w:rsidR="00F646C8" w:rsidRPr="007F3E67">
        <w:rPr>
          <w:lang w:val="fr-FR"/>
        </w:rPr>
        <w:t>abord qu</w:t>
      </w:r>
      <w:r w:rsidR="007F3E67" w:rsidRPr="007F3E67">
        <w:rPr>
          <w:lang w:val="fr-FR"/>
        </w:rPr>
        <w:t>’</w:t>
      </w:r>
      <w:r w:rsidR="00F646C8" w:rsidRPr="007F3E67">
        <w:rPr>
          <w:lang w:val="fr-FR"/>
        </w:rPr>
        <w:t>il était prouvé que les faits suivants avaient été commis à l</w:t>
      </w:r>
      <w:r w:rsidR="007F3E67" w:rsidRPr="007F3E67">
        <w:rPr>
          <w:lang w:val="fr-FR"/>
        </w:rPr>
        <w:t>’</w:t>
      </w:r>
      <w:r w:rsidR="00F646C8" w:rsidRPr="007F3E67">
        <w:rPr>
          <w:lang w:val="fr-FR"/>
        </w:rPr>
        <w:t xml:space="preserve">encontre de </w:t>
      </w:r>
      <w:r w:rsidRPr="007F3E67">
        <w:rPr>
          <w:lang w:val="fr-FR"/>
        </w:rPr>
        <w:t>tous les requérants : insultes, menaces, coups et blessures, positions vexatoires, vaporisation de produits irritants dans les cellules, destruction d</w:t>
      </w:r>
      <w:r w:rsidR="007F3E67" w:rsidRPr="007F3E67">
        <w:rPr>
          <w:lang w:val="fr-FR"/>
        </w:rPr>
        <w:t>’</w:t>
      </w:r>
      <w:r w:rsidRPr="007F3E67">
        <w:rPr>
          <w:lang w:val="fr-FR"/>
        </w:rPr>
        <w:t>effets personnels, longs délais d</w:t>
      </w:r>
      <w:r w:rsidR="007F3E67" w:rsidRPr="007F3E67">
        <w:rPr>
          <w:lang w:val="fr-FR"/>
        </w:rPr>
        <w:t>’</w:t>
      </w:r>
      <w:r w:rsidRPr="007F3E67">
        <w:rPr>
          <w:lang w:val="fr-FR"/>
        </w:rPr>
        <w:t xml:space="preserve">attente pour </w:t>
      </w:r>
      <w:r w:rsidR="00F646C8" w:rsidRPr="007F3E67">
        <w:rPr>
          <w:lang w:val="fr-FR"/>
        </w:rPr>
        <w:t xml:space="preserve">utiliser les </w:t>
      </w:r>
      <w:r w:rsidRPr="007F3E67">
        <w:rPr>
          <w:lang w:val="fr-FR"/>
        </w:rPr>
        <w:t xml:space="preserve">toilettes et marquage au feutre </w:t>
      </w:r>
      <w:r w:rsidR="00F646C8" w:rsidRPr="007F3E67">
        <w:rPr>
          <w:lang w:val="fr-FR"/>
        </w:rPr>
        <w:t xml:space="preserve">sur le </w:t>
      </w:r>
      <w:r w:rsidRPr="007F3E67">
        <w:rPr>
          <w:lang w:val="fr-FR"/>
        </w:rPr>
        <w:t>visage des personnes arrêtées à l</w:t>
      </w:r>
      <w:r w:rsidR="007F3E67" w:rsidRPr="007F3E67">
        <w:rPr>
          <w:lang w:val="fr-FR"/>
        </w:rPr>
        <w:t>’</w:t>
      </w:r>
      <w:r w:rsidRPr="007F3E67">
        <w:rPr>
          <w:lang w:val="fr-FR"/>
        </w:rPr>
        <w:t xml:space="preserve">école Diaz-Pertini. </w:t>
      </w:r>
      <w:r w:rsidR="00F646C8" w:rsidRPr="007F3E67">
        <w:rPr>
          <w:lang w:val="fr-FR"/>
        </w:rPr>
        <w:t>Il nota que</w:t>
      </w:r>
      <w:r w:rsidR="00C272BE" w:rsidRPr="007F3E67">
        <w:rPr>
          <w:lang w:val="fr-FR"/>
        </w:rPr>
        <w:t xml:space="preserve"> c</w:t>
      </w:r>
      <w:r w:rsidRPr="007F3E67">
        <w:rPr>
          <w:lang w:val="fr-FR"/>
        </w:rPr>
        <w:t>e</w:t>
      </w:r>
      <w:r w:rsidR="00C272BE" w:rsidRPr="007F3E67">
        <w:rPr>
          <w:lang w:val="fr-FR"/>
        </w:rPr>
        <w:t>s</w:t>
      </w:r>
      <w:r w:rsidRPr="007F3E67">
        <w:rPr>
          <w:lang w:val="fr-FR"/>
        </w:rPr>
        <w:t xml:space="preserve"> traitements</w:t>
      </w:r>
      <w:r w:rsidR="00C272BE" w:rsidRPr="007F3E67">
        <w:rPr>
          <w:lang w:val="fr-FR"/>
        </w:rPr>
        <w:t xml:space="preserve"> pouvaient </w:t>
      </w:r>
      <w:r w:rsidR="00F646C8" w:rsidRPr="007F3E67">
        <w:rPr>
          <w:lang w:val="fr-FR"/>
        </w:rPr>
        <w:t>être qualifiés</w:t>
      </w:r>
      <w:r w:rsidR="00C272BE" w:rsidRPr="007F3E67">
        <w:rPr>
          <w:lang w:val="fr-FR"/>
        </w:rPr>
        <w:t xml:space="preserve"> d</w:t>
      </w:r>
      <w:r w:rsidR="007F3E67" w:rsidRPr="007F3E67">
        <w:rPr>
          <w:lang w:val="fr-FR"/>
        </w:rPr>
        <w:t>’</w:t>
      </w:r>
      <w:r w:rsidRPr="007F3E67">
        <w:rPr>
          <w:lang w:val="fr-FR"/>
        </w:rPr>
        <w:t>inhumains et dégradants</w:t>
      </w:r>
      <w:r w:rsidR="00F646C8" w:rsidRPr="007F3E67">
        <w:rPr>
          <w:lang w:val="fr-FR"/>
        </w:rPr>
        <w:t xml:space="preserve"> et qu</w:t>
      </w:r>
      <w:r w:rsidR="007F3E67" w:rsidRPr="007F3E67">
        <w:rPr>
          <w:lang w:val="fr-FR"/>
        </w:rPr>
        <w:t>’</w:t>
      </w:r>
      <w:r w:rsidR="00F646C8" w:rsidRPr="007F3E67">
        <w:rPr>
          <w:lang w:val="fr-FR"/>
        </w:rPr>
        <w:t>ils avaient été</w:t>
      </w:r>
      <w:r w:rsidRPr="007F3E67">
        <w:rPr>
          <w:lang w:val="fr-FR"/>
        </w:rPr>
        <w:t xml:space="preserve"> commis dans un contexte particulier « et, on l</w:t>
      </w:r>
      <w:r w:rsidR="007F3E67" w:rsidRPr="007F3E67">
        <w:rPr>
          <w:lang w:val="fr-FR"/>
        </w:rPr>
        <w:t>’</w:t>
      </w:r>
      <w:r w:rsidR="00C36221" w:rsidRPr="007F3E67">
        <w:rPr>
          <w:lang w:val="fr-FR"/>
        </w:rPr>
        <w:t xml:space="preserve">espér[ait], unique ». </w:t>
      </w:r>
      <w:r w:rsidR="00F646C8" w:rsidRPr="007F3E67">
        <w:rPr>
          <w:lang w:val="fr-FR"/>
        </w:rPr>
        <w:t>Il ajouta que c</w:t>
      </w:r>
      <w:r w:rsidR="00C36221" w:rsidRPr="007F3E67">
        <w:rPr>
          <w:lang w:val="fr-FR"/>
        </w:rPr>
        <w:t>es épisodes</w:t>
      </w:r>
      <w:r w:rsidRPr="007F3E67">
        <w:rPr>
          <w:lang w:val="fr-FR"/>
        </w:rPr>
        <w:t xml:space="preserve"> avaient </w:t>
      </w:r>
      <w:r w:rsidR="00133AD2" w:rsidRPr="007F3E67">
        <w:rPr>
          <w:lang w:val="fr-FR"/>
        </w:rPr>
        <w:t xml:space="preserve">aussi </w:t>
      </w:r>
      <w:r w:rsidRPr="007F3E67">
        <w:rPr>
          <w:lang w:val="fr-FR"/>
        </w:rPr>
        <w:t>porté atteinte à la Constitution républicaine et affaibli la confiance du peuple italien dans les forces de l</w:t>
      </w:r>
      <w:r w:rsidR="007F3E67" w:rsidRPr="007F3E67">
        <w:rPr>
          <w:lang w:val="fr-FR"/>
        </w:rPr>
        <w:t>’</w:t>
      </w:r>
      <w:r w:rsidRPr="007F3E67">
        <w:rPr>
          <w:lang w:val="fr-FR"/>
        </w:rPr>
        <w:t>ordre.</w:t>
      </w:r>
    </w:p>
    <w:bookmarkStart w:id="5" w:name="DIFFICULTES_ENQUETE"/>
    <w:p w:rsidR="00E235F1" w:rsidRPr="007F3E67" w:rsidRDefault="00E235F1" w:rsidP="007F3E67">
      <w:pPr>
        <w:pStyle w:val="ECHRPara"/>
        <w:rPr>
          <w:lang w:val="fr-FR"/>
        </w:rPr>
      </w:pPr>
      <w:r w:rsidRPr="007F3E67">
        <w:rPr>
          <w:lang w:val="fr-FR"/>
        </w:rPr>
        <w:fldChar w:fldCharType="begin"/>
      </w:r>
      <w:r w:rsidRPr="007F3E67">
        <w:rPr>
          <w:lang w:val="fr-FR"/>
        </w:rPr>
        <w:instrText xml:space="preserve"> SEQ level0 \*arabic </w:instrText>
      </w:r>
      <w:r w:rsidRPr="007F3E67">
        <w:rPr>
          <w:lang w:val="fr-FR"/>
        </w:rPr>
        <w:fldChar w:fldCharType="separate"/>
      </w:r>
      <w:r w:rsidR="007F3E67" w:rsidRPr="007F3E67">
        <w:rPr>
          <w:noProof/>
          <w:lang w:val="fr-FR"/>
        </w:rPr>
        <w:t>54</w:t>
      </w:r>
      <w:r w:rsidRPr="007F3E67">
        <w:rPr>
          <w:lang w:val="fr-FR"/>
        </w:rPr>
        <w:fldChar w:fldCharType="end"/>
      </w:r>
      <w:bookmarkEnd w:id="5"/>
      <w:r w:rsidRPr="007F3E67">
        <w:rPr>
          <w:lang w:val="fr-FR"/>
        </w:rPr>
        <w:t xml:space="preserve">.  Le tribunal souligna ensuite que, malgré la longue, laborieuse et méticuleuse enquête menée par le parquet, la plupart des auteurs des </w:t>
      </w:r>
      <w:r w:rsidR="00133AD2" w:rsidRPr="007F3E67">
        <w:rPr>
          <w:lang w:val="fr-FR"/>
        </w:rPr>
        <w:t>mauvais traitements</w:t>
      </w:r>
      <w:r w:rsidR="00C272BE" w:rsidRPr="007F3E67">
        <w:rPr>
          <w:lang w:val="fr-FR"/>
        </w:rPr>
        <w:t>,</w:t>
      </w:r>
      <w:r w:rsidRPr="007F3E67">
        <w:rPr>
          <w:lang w:val="fr-FR"/>
        </w:rPr>
        <w:t xml:space="preserve"> dont l</w:t>
      </w:r>
      <w:r w:rsidR="007F3E67" w:rsidRPr="007F3E67">
        <w:rPr>
          <w:lang w:val="fr-FR"/>
        </w:rPr>
        <w:t>’</w:t>
      </w:r>
      <w:r w:rsidRPr="007F3E67">
        <w:rPr>
          <w:lang w:val="fr-FR"/>
        </w:rPr>
        <w:t>existence avait été démontrée pendant les débats</w:t>
      </w:r>
      <w:r w:rsidR="00C272BE" w:rsidRPr="007F3E67">
        <w:rPr>
          <w:lang w:val="fr-FR"/>
        </w:rPr>
        <w:t>,</w:t>
      </w:r>
      <w:r w:rsidRPr="007F3E67">
        <w:rPr>
          <w:lang w:val="fr-FR"/>
        </w:rPr>
        <w:t xml:space="preserve"> n</w:t>
      </w:r>
      <w:r w:rsidR="007F3E67" w:rsidRPr="007F3E67">
        <w:rPr>
          <w:lang w:val="fr-FR"/>
        </w:rPr>
        <w:t>’</w:t>
      </w:r>
      <w:r w:rsidRPr="007F3E67">
        <w:rPr>
          <w:lang w:val="fr-FR"/>
        </w:rPr>
        <w:t xml:space="preserve">avaient pas pu être identifiés en raison de difficultés objectives, </w:t>
      </w:r>
      <w:r w:rsidR="00133AD2" w:rsidRPr="007F3E67">
        <w:rPr>
          <w:lang w:val="fr-FR"/>
        </w:rPr>
        <w:t xml:space="preserve">et </w:t>
      </w:r>
      <w:r w:rsidRPr="007F3E67">
        <w:rPr>
          <w:lang w:val="fr-FR"/>
        </w:rPr>
        <w:t>notamment</w:t>
      </w:r>
      <w:r w:rsidR="00ED25EB" w:rsidRPr="007F3E67">
        <w:rPr>
          <w:lang w:val="fr-FR"/>
        </w:rPr>
        <w:t xml:space="preserve"> de</w:t>
      </w:r>
      <w:r w:rsidRPr="007F3E67">
        <w:rPr>
          <w:lang w:val="fr-FR"/>
        </w:rPr>
        <w:t xml:space="preserve"> l</w:t>
      </w:r>
      <w:r w:rsidR="007F3E67" w:rsidRPr="007F3E67">
        <w:rPr>
          <w:lang w:val="fr-FR"/>
        </w:rPr>
        <w:t>’</w:t>
      </w:r>
      <w:r w:rsidRPr="007F3E67">
        <w:rPr>
          <w:lang w:val="fr-FR"/>
        </w:rPr>
        <w:t>absence de coop</w:t>
      </w:r>
      <w:r w:rsidR="00C36221" w:rsidRPr="007F3E67">
        <w:rPr>
          <w:lang w:val="fr-FR"/>
        </w:rPr>
        <w:t xml:space="preserve">ération de la police, résultat </w:t>
      </w:r>
      <w:r w:rsidR="00133AD2" w:rsidRPr="007F3E67">
        <w:rPr>
          <w:lang w:val="fr-FR"/>
        </w:rPr>
        <w:t xml:space="preserve">à ses yeux </w:t>
      </w:r>
      <w:r w:rsidRPr="007F3E67">
        <w:rPr>
          <w:lang w:val="fr-FR"/>
        </w:rPr>
        <w:t>d</w:t>
      </w:r>
      <w:r w:rsidR="007F3E67" w:rsidRPr="007F3E67">
        <w:rPr>
          <w:lang w:val="fr-FR"/>
        </w:rPr>
        <w:t>’</w:t>
      </w:r>
      <w:r w:rsidRPr="007F3E67">
        <w:rPr>
          <w:lang w:val="fr-FR"/>
        </w:rPr>
        <w:t>une mauvaise interprétation de l</w:t>
      </w:r>
      <w:r w:rsidR="007F3E67" w:rsidRPr="007F3E67">
        <w:rPr>
          <w:lang w:val="fr-FR"/>
        </w:rPr>
        <w:t>’</w:t>
      </w:r>
      <w:r w:rsidRPr="007F3E67">
        <w:rPr>
          <w:lang w:val="fr-FR"/>
        </w:rPr>
        <w:t>esprit de corps.</w:t>
      </w:r>
    </w:p>
    <w:p w:rsidR="00E235F1" w:rsidRPr="007F3E67" w:rsidRDefault="00E235F1" w:rsidP="007F3E67">
      <w:pPr>
        <w:pStyle w:val="ECHRPara"/>
        <w:rPr>
          <w:lang w:val="fr-FR"/>
        </w:rPr>
      </w:pPr>
      <w:r w:rsidRPr="007F3E67">
        <w:rPr>
          <w:lang w:val="fr-FR"/>
        </w:rPr>
        <w:fldChar w:fldCharType="begin"/>
      </w:r>
      <w:r w:rsidRPr="007F3E67">
        <w:rPr>
          <w:lang w:val="fr-FR"/>
        </w:rPr>
        <w:instrText xml:space="preserve"> SEQ level0 \*arabic </w:instrText>
      </w:r>
      <w:r w:rsidRPr="007F3E67">
        <w:rPr>
          <w:lang w:val="fr-FR"/>
        </w:rPr>
        <w:fldChar w:fldCharType="separate"/>
      </w:r>
      <w:r w:rsidR="007F3E67" w:rsidRPr="007F3E67">
        <w:rPr>
          <w:noProof/>
          <w:lang w:val="fr-FR"/>
        </w:rPr>
        <w:t>55</w:t>
      </w:r>
      <w:r w:rsidRPr="007F3E67">
        <w:rPr>
          <w:lang w:val="fr-FR"/>
        </w:rPr>
        <w:fldChar w:fldCharType="end"/>
      </w:r>
      <w:r w:rsidRPr="007F3E67">
        <w:rPr>
          <w:lang w:val="fr-FR"/>
        </w:rPr>
        <w:t>.  Le tribunal précisa enfin que l</w:t>
      </w:r>
      <w:r w:rsidR="007F3E67" w:rsidRPr="007F3E67">
        <w:rPr>
          <w:lang w:val="fr-FR"/>
        </w:rPr>
        <w:t>’</w:t>
      </w:r>
      <w:r w:rsidRPr="007F3E67">
        <w:rPr>
          <w:lang w:val="fr-FR"/>
        </w:rPr>
        <w:t>absence en droit pénal d</w:t>
      </w:r>
      <w:r w:rsidR="000576B9" w:rsidRPr="007F3E67">
        <w:rPr>
          <w:lang w:val="fr-FR"/>
        </w:rPr>
        <w:t>u</w:t>
      </w:r>
      <w:r w:rsidRPr="007F3E67">
        <w:rPr>
          <w:lang w:val="fr-FR"/>
        </w:rPr>
        <w:t xml:space="preserve"> délit de torture avait obligé le parquet à circonscrire la plupart des mauvais traitements avérés </w:t>
      </w:r>
      <w:r w:rsidR="00E26549" w:rsidRPr="007F3E67">
        <w:rPr>
          <w:lang w:val="fr-FR"/>
        </w:rPr>
        <w:t>au</w:t>
      </w:r>
      <w:r w:rsidRPr="007F3E67">
        <w:rPr>
          <w:lang w:val="fr-FR"/>
        </w:rPr>
        <w:t xml:space="preserve"> cadre du délit d</w:t>
      </w:r>
      <w:r w:rsidR="007F3E67" w:rsidRPr="007F3E67">
        <w:rPr>
          <w:lang w:val="fr-FR"/>
        </w:rPr>
        <w:t>’</w:t>
      </w:r>
      <w:r w:rsidRPr="007F3E67">
        <w:rPr>
          <w:lang w:val="fr-FR"/>
        </w:rPr>
        <w:t>abus d</w:t>
      </w:r>
      <w:r w:rsidR="007F3E67" w:rsidRPr="007F3E67">
        <w:rPr>
          <w:lang w:val="fr-FR"/>
        </w:rPr>
        <w:t>’</w:t>
      </w:r>
      <w:r w:rsidRPr="007F3E67">
        <w:rPr>
          <w:lang w:val="fr-FR"/>
        </w:rPr>
        <w:t xml:space="preserve">autorité publique. </w:t>
      </w:r>
      <w:r w:rsidR="000576B9" w:rsidRPr="007F3E67">
        <w:rPr>
          <w:lang w:val="fr-FR"/>
        </w:rPr>
        <w:t>En l</w:t>
      </w:r>
      <w:r w:rsidR="007F3E67" w:rsidRPr="007F3E67">
        <w:rPr>
          <w:lang w:val="fr-FR"/>
        </w:rPr>
        <w:t>’</w:t>
      </w:r>
      <w:r w:rsidR="000576B9" w:rsidRPr="007F3E67">
        <w:rPr>
          <w:lang w:val="fr-FR"/>
        </w:rPr>
        <w:t>espèce, l</w:t>
      </w:r>
      <w:r w:rsidRPr="007F3E67">
        <w:rPr>
          <w:lang w:val="fr-FR"/>
        </w:rPr>
        <w:t xml:space="preserve">es agents, les cadres et les fonctionnaires </w:t>
      </w:r>
      <w:r w:rsidR="00C272BE" w:rsidRPr="007F3E67">
        <w:rPr>
          <w:lang w:val="fr-FR"/>
        </w:rPr>
        <w:t xml:space="preserve">auraient été accusés de ne pas avoir empêché, </w:t>
      </w:r>
      <w:r w:rsidR="00ED25EB" w:rsidRPr="007F3E67">
        <w:rPr>
          <w:lang w:val="fr-FR"/>
        </w:rPr>
        <w:t>de par</w:t>
      </w:r>
      <w:r w:rsidR="00814A64" w:rsidRPr="007F3E67">
        <w:rPr>
          <w:lang w:val="fr-FR"/>
        </w:rPr>
        <w:t xml:space="preserve"> leur</w:t>
      </w:r>
      <w:r w:rsidR="00C272BE" w:rsidRPr="007F3E67">
        <w:rPr>
          <w:lang w:val="fr-FR"/>
        </w:rPr>
        <w:t xml:space="preserve"> comportement passif,</w:t>
      </w:r>
      <w:r w:rsidRPr="007F3E67">
        <w:rPr>
          <w:lang w:val="fr-FR"/>
        </w:rPr>
        <w:t xml:space="preserve"> les mauvais traitements dénoncés. </w:t>
      </w:r>
      <w:r w:rsidR="00C272BE" w:rsidRPr="007F3E67">
        <w:rPr>
          <w:lang w:val="fr-FR"/>
        </w:rPr>
        <w:t>À</w:t>
      </w:r>
      <w:r w:rsidRPr="007F3E67">
        <w:rPr>
          <w:lang w:val="fr-FR"/>
        </w:rPr>
        <w:t xml:space="preserve"> cet égard, le tribunal </w:t>
      </w:r>
      <w:r w:rsidR="00000105" w:rsidRPr="007F3E67">
        <w:rPr>
          <w:lang w:val="fr-FR"/>
        </w:rPr>
        <w:t xml:space="preserve">estima </w:t>
      </w:r>
      <w:r w:rsidRPr="007F3E67">
        <w:rPr>
          <w:lang w:val="fr-FR"/>
        </w:rPr>
        <w:t>que la plupart des accusés du chef d</w:t>
      </w:r>
      <w:r w:rsidR="007F3E67" w:rsidRPr="007F3E67">
        <w:rPr>
          <w:lang w:val="fr-FR"/>
        </w:rPr>
        <w:t>’</w:t>
      </w:r>
      <w:r w:rsidRPr="007F3E67">
        <w:rPr>
          <w:lang w:val="fr-FR"/>
        </w:rPr>
        <w:t>abus d</w:t>
      </w:r>
      <w:r w:rsidR="007F3E67" w:rsidRPr="007F3E67">
        <w:rPr>
          <w:lang w:val="fr-FR"/>
        </w:rPr>
        <w:t>’</w:t>
      </w:r>
      <w:r w:rsidRPr="007F3E67">
        <w:rPr>
          <w:lang w:val="fr-FR"/>
        </w:rPr>
        <w:t xml:space="preserve">autorité publique ne pouvaient pas être jugés coupables </w:t>
      </w:r>
      <w:r w:rsidR="000576B9" w:rsidRPr="007F3E67">
        <w:rPr>
          <w:lang w:val="fr-FR"/>
        </w:rPr>
        <w:t xml:space="preserve">eu égard au fait </w:t>
      </w:r>
      <w:r w:rsidRPr="007F3E67">
        <w:rPr>
          <w:lang w:val="fr-FR"/>
        </w:rPr>
        <w:t>que : a)  </w:t>
      </w:r>
      <w:r w:rsidR="00000105" w:rsidRPr="007F3E67">
        <w:rPr>
          <w:lang w:val="fr-FR"/>
        </w:rPr>
        <w:t xml:space="preserve">le délit en cause était </w:t>
      </w:r>
      <w:r w:rsidRPr="007F3E67">
        <w:rPr>
          <w:lang w:val="fr-FR"/>
        </w:rPr>
        <w:t>caractérisé par un dol spécifique, à savoir l</w:t>
      </w:r>
      <w:r w:rsidR="007F3E67" w:rsidRPr="007F3E67">
        <w:rPr>
          <w:lang w:val="fr-FR"/>
        </w:rPr>
        <w:t>’</w:t>
      </w:r>
      <w:r w:rsidRPr="007F3E67">
        <w:rPr>
          <w:lang w:val="fr-FR"/>
        </w:rPr>
        <w:t>intention claire et avérée de l</w:t>
      </w:r>
      <w:r w:rsidR="007F3E67" w:rsidRPr="007F3E67">
        <w:rPr>
          <w:lang w:val="fr-FR"/>
        </w:rPr>
        <w:t>’</w:t>
      </w:r>
      <w:r w:rsidRPr="007F3E67">
        <w:rPr>
          <w:lang w:val="fr-FR"/>
        </w:rPr>
        <w:t xml:space="preserve">agent public de commettre un certain délit ou </w:t>
      </w:r>
      <w:r w:rsidR="00C272BE" w:rsidRPr="007F3E67">
        <w:rPr>
          <w:lang w:val="fr-FR"/>
        </w:rPr>
        <w:t xml:space="preserve">de </w:t>
      </w:r>
      <w:r w:rsidRPr="007F3E67">
        <w:rPr>
          <w:lang w:val="fr-FR"/>
        </w:rPr>
        <w:t>ne pas en empêcher la commission, et que b)  l</w:t>
      </w:r>
      <w:r w:rsidR="007F3E67" w:rsidRPr="007F3E67">
        <w:rPr>
          <w:lang w:val="fr-FR"/>
        </w:rPr>
        <w:t>’</w:t>
      </w:r>
      <w:r w:rsidRPr="007F3E67">
        <w:rPr>
          <w:lang w:val="fr-FR"/>
        </w:rPr>
        <w:t>existence de ce dol spécifique n</w:t>
      </w:r>
      <w:r w:rsidR="007F3E67" w:rsidRPr="007F3E67">
        <w:rPr>
          <w:lang w:val="fr-FR"/>
        </w:rPr>
        <w:t>’</w:t>
      </w:r>
      <w:r w:rsidRPr="007F3E67">
        <w:rPr>
          <w:lang w:val="fr-FR"/>
        </w:rPr>
        <w:t>avait pas été prouvée au-delà de tout doute raisonnable.</w:t>
      </w:r>
    </w:p>
    <w:p w:rsidR="00E235F1" w:rsidRPr="007F3E67" w:rsidRDefault="00E235F1" w:rsidP="007F3E67">
      <w:pPr>
        <w:pStyle w:val="ECHRPara"/>
        <w:rPr>
          <w:lang w:val="fr-FR"/>
        </w:rPr>
      </w:pPr>
      <w:r w:rsidRPr="007F3E67">
        <w:rPr>
          <w:lang w:val="fr-FR"/>
        </w:rPr>
        <w:fldChar w:fldCharType="begin"/>
      </w:r>
      <w:r w:rsidRPr="007F3E67">
        <w:rPr>
          <w:lang w:val="fr-FR"/>
        </w:rPr>
        <w:instrText xml:space="preserve"> SEQ level0 \*arabic </w:instrText>
      </w:r>
      <w:r w:rsidRPr="007F3E67">
        <w:rPr>
          <w:lang w:val="fr-FR"/>
        </w:rPr>
        <w:fldChar w:fldCharType="separate"/>
      </w:r>
      <w:r w:rsidR="007F3E67" w:rsidRPr="007F3E67">
        <w:rPr>
          <w:noProof/>
          <w:lang w:val="fr-FR"/>
        </w:rPr>
        <w:t>56</w:t>
      </w:r>
      <w:r w:rsidRPr="007F3E67">
        <w:rPr>
          <w:lang w:val="fr-FR"/>
        </w:rPr>
        <w:fldChar w:fldCharType="end"/>
      </w:r>
      <w:r w:rsidRPr="007F3E67">
        <w:rPr>
          <w:lang w:val="fr-FR"/>
        </w:rPr>
        <w:t>.  Les coupables des actes litigieux ainsi que les ministères de l</w:t>
      </w:r>
      <w:r w:rsidR="007F3E67" w:rsidRPr="007F3E67">
        <w:rPr>
          <w:lang w:val="fr-FR"/>
        </w:rPr>
        <w:t>’</w:t>
      </w:r>
      <w:r w:rsidRPr="007F3E67">
        <w:rPr>
          <w:lang w:val="fr-FR"/>
        </w:rPr>
        <w:t xml:space="preserve">Intérieur, de la Justice et de la Défense furent condamnés au paiement des frais et dépens et au dédommagement des parties civiles, des </w:t>
      </w:r>
      <w:r w:rsidR="00ED25EB" w:rsidRPr="007F3E67">
        <w:rPr>
          <w:lang w:val="fr-FR"/>
        </w:rPr>
        <w:t xml:space="preserve">sommes </w:t>
      </w:r>
      <w:r w:rsidR="00836F9C" w:rsidRPr="007F3E67">
        <w:rPr>
          <w:lang w:val="fr-FR"/>
        </w:rPr>
        <w:t>compris</w:t>
      </w:r>
      <w:r w:rsidR="00ED25EB" w:rsidRPr="007F3E67">
        <w:rPr>
          <w:lang w:val="fr-FR"/>
        </w:rPr>
        <w:t>es</w:t>
      </w:r>
      <w:r w:rsidRPr="007F3E67">
        <w:rPr>
          <w:lang w:val="fr-FR"/>
        </w:rPr>
        <w:t xml:space="preserve"> entre 2 500 et 15 000 euros </w:t>
      </w:r>
      <w:r w:rsidR="005F3923" w:rsidRPr="007F3E67">
        <w:rPr>
          <w:lang w:val="fr-FR"/>
        </w:rPr>
        <w:t xml:space="preserve">(EUR) </w:t>
      </w:r>
      <w:r w:rsidRPr="007F3E67">
        <w:rPr>
          <w:lang w:val="fr-FR"/>
        </w:rPr>
        <w:t>étant accordé</w:t>
      </w:r>
      <w:r w:rsidR="00ED25EB" w:rsidRPr="007F3E67">
        <w:rPr>
          <w:lang w:val="fr-FR"/>
        </w:rPr>
        <w:t>e</w:t>
      </w:r>
      <w:r w:rsidRPr="007F3E67">
        <w:rPr>
          <w:lang w:val="fr-FR"/>
        </w:rPr>
        <w:t>s à titre de provision sur les dommages-intérêts.</w:t>
      </w:r>
    </w:p>
    <w:p w:rsidR="00E235F1" w:rsidRPr="007F3E67" w:rsidRDefault="00681EA4" w:rsidP="007F3E67">
      <w:pPr>
        <w:pStyle w:val="ECHRHeading3"/>
        <w:rPr>
          <w:lang w:val="fr-FR"/>
        </w:rPr>
      </w:pPr>
      <w:r w:rsidRPr="007F3E67">
        <w:rPr>
          <w:lang w:val="fr-FR"/>
        </w:rPr>
        <w:t>2.</w:t>
      </w:r>
      <w:r w:rsidR="00E235F1" w:rsidRPr="007F3E67">
        <w:rPr>
          <w:lang w:val="fr-FR"/>
        </w:rPr>
        <w:t>  L</w:t>
      </w:r>
      <w:r w:rsidR="007F3E67" w:rsidRPr="007F3E67">
        <w:rPr>
          <w:lang w:val="fr-FR"/>
        </w:rPr>
        <w:t>’</w:t>
      </w:r>
      <w:r w:rsidR="00E235F1" w:rsidRPr="007F3E67">
        <w:rPr>
          <w:lang w:val="fr-FR"/>
        </w:rPr>
        <w:t>arrêt d</w:t>
      </w:r>
      <w:r w:rsidR="007F3E67" w:rsidRPr="007F3E67">
        <w:rPr>
          <w:lang w:val="fr-FR"/>
        </w:rPr>
        <w:t>’</w:t>
      </w:r>
      <w:r w:rsidR="00E235F1" w:rsidRPr="007F3E67">
        <w:rPr>
          <w:lang w:val="fr-FR"/>
        </w:rPr>
        <w:t>appel</w:t>
      </w:r>
    </w:p>
    <w:bookmarkStart w:id="6" w:name="Cour_appel"/>
    <w:p w:rsidR="00E235F1" w:rsidRPr="007F3E67" w:rsidRDefault="00E235F1" w:rsidP="007F3E67">
      <w:pPr>
        <w:pStyle w:val="ECHRPara"/>
        <w:rPr>
          <w:szCs w:val="24"/>
          <w:lang w:val="fr-FR"/>
        </w:rPr>
      </w:pPr>
      <w:r w:rsidRPr="007F3E67">
        <w:rPr>
          <w:lang w:val="fr-FR"/>
        </w:rPr>
        <w:fldChar w:fldCharType="begin"/>
      </w:r>
      <w:r w:rsidRPr="007F3E67">
        <w:rPr>
          <w:lang w:val="fr-FR"/>
        </w:rPr>
        <w:instrText xml:space="preserve"> SEQ level0 \*arabic </w:instrText>
      </w:r>
      <w:r w:rsidRPr="007F3E67">
        <w:rPr>
          <w:lang w:val="fr-FR"/>
        </w:rPr>
        <w:fldChar w:fldCharType="separate"/>
      </w:r>
      <w:r w:rsidR="007F3E67" w:rsidRPr="007F3E67">
        <w:rPr>
          <w:noProof/>
          <w:lang w:val="fr-FR"/>
        </w:rPr>
        <w:t>57</w:t>
      </w:r>
      <w:r w:rsidRPr="007F3E67">
        <w:rPr>
          <w:lang w:val="fr-FR"/>
        </w:rPr>
        <w:fldChar w:fldCharType="end"/>
      </w:r>
      <w:bookmarkEnd w:id="6"/>
      <w:r w:rsidRPr="007F3E67">
        <w:rPr>
          <w:lang w:val="fr-FR"/>
        </w:rPr>
        <w:t>.  Saisie par les accusés, le procureur près le tribunal de Gênes, le procureur général, les ministres de l</w:t>
      </w:r>
      <w:r w:rsidR="007F3E67" w:rsidRPr="007F3E67">
        <w:rPr>
          <w:lang w:val="fr-FR"/>
        </w:rPr>
        <w:t>’</w:t>
      </w:r>
      <w:r w:rsidRPr="007F3E67">
        <w:rPr>
          <w:lang w:val="fr-FR"/>
        </w:rPr>
        <w:t xml:space="preserve">Intérieur, de la Justice et de la Défense (responsables civils) et par les victimes </w:t>
      </w:r>
      <w:r w:rsidR="00000105" w:rsidRPr="007F3E67">
        <w:rPr>
          <w:lang w:val="fr-FR"/>
        </w:rPr>
        <w:t>qui s</w:t>
      </w:r>
      <w:r w:rsidR="007F3E67" w:rsidRPr="007F3E67">
        <w:rPr>
          <w:lang w:val="fr-FR"/>
        </w:rPr>
        <w:t>’</w:t>
      </w:r>
      <w:r w:rsidR="00000105" w:rsidRPr="007F3E67">
        <w:rPr>
          <w:lang w:val="fr-FR"/>
        </w:rPr>
        <w:t xml:space="preserve">étaient </w:t>
      </w:r>
      <w:r w:rsidRPr="007F3E67">
        <w:rPr>
          <w:lang w:val="fr-FR"/>
        </w:rPr>
        <w:t xml:space="preserve">constituées parties civiles, </w:t>
      </w:r>
      <w:r w:rsidRPr="007F3E67">
        <w:rPr>
          <w:szCs w:val="24"/>
          <w:lang w:val="fr-FR"/>
        </w:rPr>
        <w:t>la cour d</w:t>
      </w:r>
      <w:r w:rsidR="007F3E67" w:rsidRPr="007F3E67">
        <w:rPr>
          <w:szCs w:val="24"/>
          <w:lang w:val="fr-FR"/>
        </w:rPr>
        <w:t>’</w:t>
      </w:r>
      <w:r w:rsidRPr="007F3E67">
        <w:rPr>
          <w:szCs w:val="24"/>
          <w:lang w:val="fr-FR"/>
        </w:rPr>
        <w:t>appel de Gênes,</w:t>
      </w:r>
      <w:r w:rsidRPr="007F3E67">
        <w:rPr>
          <w:lang w:val="fr-FR"/>
        </w:rPr>
        <w:t xml:space="preserve"> par son </w:t>
      </w:r>
      <w:r w:rsidRPr="007F3E67">
        <w:rPr>
          <w:szCs w:val="24"/>
          <w:lang w:val="fr-FR"/>
        </w:rPr>
        <w:t>arrêt n</w:t>
      </w:r>
      <w:r w:rsidRPr="007F3E67">
        <w:rPr>
          <w:szCs w:val="24"/>
          <w:vertAlign w:val="superscript"/>
          <w:lang w:val="fr-FR"/>
        </w:rPr>
        <w:t>o</w:t>
      </w:r>
      <w:r w:rsidRPr="007F3E67">
        <w:rPr>
          <w:szCs w:val="24"/>
          <w:lang w:val="fr-FR"/>
        </w:rPr>
        <w:t xml:space="preserve"> 678 du 5 mars 2010, déposé le 15 avril 2011, </w:t>
      </w:r>
      <w:r w:rsidR="004769B2" w:rsidRPr="007F3E67">
        <w:rPr>
          <w:szCs w:val="24"/>
          <w:lang w:val="fr-FR"/>
        </w:rPr>
        <w:t>infirma</w:t>
      </w:r>
      <w:r w:rsidRPr="007F3E67">
        <w:rPr>
          <w:szCs w:val="24"/>
          <w:lang w:val="fr-FR"/>
        </w:rPr>
        <w:t xml:space="preserve"> partiellement le jugement entrepris.</w:t>
      </w:r>
    </w:p>
    <w:bookmarkStart w:id="7" w:name="REMISE_PEINE"/>
    <w:p w:rsidR="00301040" w:rsidRPr="007F3E67" w:rsidRDefault="00E235F1" w:rsidP="007F3E67">
      <w:pPr>
        <w:pStyle w:val="ECHRPara"/>
        <w:rPr>
          <w:szCs w:val="24"/>
          <w:lang w:val="fr-FR"/>
        </w:rPr>
      </w:pPr>
      <w:r w:rsidRPr="007F3E67">
        <w:rPr>
          <w:szCs w:val="24"/>
          <w:lang w:val="fr-FR"/>
        </w:rPr>
        <w:fldChar w:fldCharType="begin"/>
      </w:r>
      <w:r w:rsidRPr="007F3E67">
        <w:rPr>
          <w:szCs w:val="24"/>
          <w:lang w:val="fr-FR"/>
        </w:rPr>
        <w:instrText xml:space="preserve"> SEQ level0 \*arabic </w:instrText>
      </w:r>
      <w:r w:rsidRPr="007F3E67">
        <w:rPr>
          <w:szCs w:val="24"/>
          <w:lang w:val="fr-FR"/>
        </w:rPr>
        <w:fldChar w:fldCharType="separate"/>
      </w:r>
      <w:r w:rsidR="007F3E67" w:rsidRPr="007F3E67">
        <w:rPr>
          <w:noProof/>
          <w:szCs w:val="24"/>
          <w:lang w:val="fr-FR"/>
        </w:rPr>
        <w:t>58</w:t>
      </w:r>
      <w:r w:rsidRPr="007F3E67">
        <w:rPr>
          <w:szCs w:val="24"/>
          <w:lang w:val="fr-FR"/>
        </w:rPr>
        <w:fldChar w:fldCharType="end"/>
      </w:r>
      <w:bookmarkEnd w:id="7"/>
      <w:r w:rsidRPr="007F3E67">
        <w:rPr>
          <w:szCs w:val="24"/>
          <w:lang w:val="fr-FR"/>
        </w:rPr>
        <w:t>.  </w:t>
      </w:r>
      <w:r w:rsidR="00695F3C" w:rsidRPr="007F3E67">
        <w:rPr>
          <w:szCs w:val="24"/>
          <w:lang w:val="fr-FR"/>
        </w:rPr>
        <w:t>Concernant le</w:t>
      </w:r>
      <w:r w:rsidR="00E432AA" w:rsidRPr="007F3E67">
        <w:rPr>
          <w:szCs w:val="24"/>
          <w:lang w:val="fr-FR"/>
        </w:rPr>
        <w:t xml:space="preserve"> délit d</w:t>
      </w:r>
      <w:r w:rsidR="007F3E67" w:rsidRPr="007F3E67">
        <w:rPr>
          <w:szCs w:val="24"/>
          <w:lang w:val="fr-FR"/>
        </w:rPr>
        <w:t>’</w:t>
      </w:r>
      <w:r w:rsidR="00E432AA" w:rsidRPr="007F3E67">
        <w:rPr>
          <w:szCs w:val="24"/>
          <w:lang w:val="fr-FR"/>
        </w:rPr>
        <w:t>abus d</w:t>
      </w:r>
      <w:r w:rsidR="007F3E67" w:rsidRPr="007F3E67">
        <w:rPr>
          <w:szCs w:val="24"/>
          <w:lang w:val="fr-FR"/>
        </w:rPr>
        <w:t>’</w:t>
      </w:r>
      <w:r w:rsidR="00E432AA" w:rsidRPr="007F3E67">
        <w:rPr>
          <w:szCs w:val="24"/>
          <w:lang w:val="fr-FR"/>
        </w:rPr>
        <w:t xml:space="preserve">autorité publique envers des personnes arrêtées, </w:t>
      </w:r>
      <w:r w:rsidR="00836F9C" w:rsidRPr="007F3E67">
        <w:rPr>
          <w:szCs w:val="24"/>
          <w:lang w:val="fr-FR"/>
        </w:rPr>
        <w:t>elle</w:t>
      </w:r>
      <w:r w:rsidRPr="007F3E67">
        <w:rPr>
          <w:szCs w:val="24"/>
          <w:lang w:val="fr-FR"/>
        </w:rPr>
        <w:t xml:space="preserve"> confirma d</w:t>
      </w:r>
      <w:r w:rsidR="007F3E67" w:rsidRPr="007F3E67">
        <w:rPr>
          <w:szCs w:val="24"/>
          <w:lang w:val="fr-FR"/>
        </w:rPr>
        <w:t>’</w:t>
      </w:r>
      <w:r w:rsidRPr="007F3E67">
        <w:rPr>
          <w:szCs w:val="24"/>
          <w:lang w:val="fr-FR"/>
        </w:rPr>
        <w:t xml:space="preserve">abord la condamnation à </w:t>
      </w:r>
      <w:r w:rsidR="00836F9C" w:rsidRPr="007F3E67">
        <w:rPr>
          <w:szCs w:val="24"/>
          <w:lang w:val="fr-FR"/>
        </w:rPr>
        <w:t>un</w:t>
      </w:r>
      <w:r w:rsidR="003539A0" w:rsidRPr="007F3E67">
        <w:rPr>
          <w:szCs w:val="24"/>
          <w:lang w:val="fr-FR"/>
        </w:rPr>
        <w:t xml:space="preserve"> an d</w:t>
      </w:r>
      <w:r w:rsidR="007F3E67" w:rsidRPr="007F3E67">
        <w:rPr>
          <w:szCs w:val="24"/>
          <w:lang w:val="fr-FR"/>
        </w:rPr>
        <w:t>’</w:t>
      </w:r>
      <w:r w:rsidR="003539A0" w:rsidRPr="007F3E67">
        <w:rPr>
          <w:szCs w:val="24"/>
          <w:lang w:val="fr-FR"/>
        </w:rPr>
        <w:t>emprisonnement</w:t>
      </w:r>
      <w:r w:rsidRPr="007F3E67">
        <w:rPr>
          <w:szCs w:val="24"/>
          <w:lang w:val="fr-FR"/>
        </w:rPr>
        <w:t xml:space="preserve"> avec sursis</w:t>
      </w:r>
      <w:r w:rsidR="00E432AA" w:rsidRPr="007F3E67">
        <w:rPr>
          <w:szCs w:val="24"/>
          <w:lang w:val="fr-FR"/>
        </w:rPr>
        <w:t xml:space="preserve"> pour deux</w:t>
      </w:r>
      <w:r w:rsidRPr="007F3E67">
        <w:rPr>
          <w:szCs w:val="24"/>
          <w:lang w:val="fr-FR"/>
        </w:rPr>
        <w:t xml:space="preserve"> a</w:t>
      </w:r>
      <w:r w:rsidR="003A33B9" w:rsidRPr="007F3E67">
        <w:rPr>
          <w:szCs w:val="24"/>
          <w:lang w:val="fr-FR"/>
        </w:rPr>
        <w:t>ccusés</w:t>
      </w:r>
      <w:r w:rsidR="00E432AA" w:rsidRPr="007F3E67">
        <w:rPr>
          <w:szCs w:val="24"/>
          <w:lang w:val="fr-FR"/>
        </w:rPr>
        <w:t xml:space="preserve"> et</w:t>
      </w:r>
      <w:r w:rsidR="003A33B9" w:rsidRPr="007F3E67">
        <w:rPr>
          <w:szCs w:val="24"/>
          <w:lang w:val="fr-FR"/>
        </w:rPr>
        <w:t xml:space="preserve"> </w:t>
      </w:r>
      <w:r w:rsidR="00000105" w:rsidRPr="007F3E67">
        <w:rPr>
          <w:szCs w:val="24"/>
          <w:lang w:val="fr-FR"/>
        </w:rPr>
        <w:t xml:space="preserve">la </w:t>
      </w:r>
      <w:r w:rsidR="003A33B9" w:rsidRPr="007F3E67">
        <w:rPr>
          <w:szCs w:val="24"/>
          <w:lang w:val="fr-FR"/>
        </w:rPr>
        <w:t xml:space="preserve">remise totale de </w:t>
      </w:r>
      <w:r w:rsidRPr="007F3E67">
        <w:rPr>
          <w:szCs w:val="24"/>
          <w:lang w:val="fr-FR"/>
        </w:rPr>
        <w:t>peine s</w:t>
      </w:r>
      <w:r w:rsidR="007F3E67" w:rsidRPr="007F3E67">
        <w:rPr>
          <w:szCs w:val="24"/>
          <w:lang w:val="fr-FR"/>
        </w:rPr>
        <w:t>’</w:t>
      </w:r>
      <w:r w:rsidRPr="007F3E67">
        <w:rPr>
          <w:szCs w:val="24"/>
          <w:lang w:val="fr-FR"/>
        </w:rPr>
        <w:t>agissant d</w:t>
      </w:r>
      <w:r w:rsidR="007F3E67" w:rsidRPr="007F3E67">
        <w:rPr>
          <w:szCs w:val="24"/>
          <w:lang w:val="fr-FR"/>
        </w:rPr>
        <w:t>’</w:t>
      </w:r>
      <w:r w:rsidRPr="007F3E67">
        <w:rPr>
          <w:szCs w:val="24"/>
          <w:lang w:val="fr-FR"/>
        </w:rPr>
        <w:t xml:space="preserve">un </w:t>
      </w:r>
      <w:r w:rsidR="003A33B9" w:rsidRPr="007F3E67">
        <w:rPr>
          <w:szCs w:val="24"/>
          <w:lang w:val="fr-FR"/>
        </w:rPr>
        <w:t xml:space="preserve">troisième </w:t>
      </w:r>
      <w:r w:rsidRPr="007F3E67">
        <w:rPr>
          <w:szCs w:val="24"/>
          <w:lang w:val="fr-FR"/>
        </w:rPr>
        <w:t>accusé</w:t>
      </w:r>
      <w:r w:rsidR="00CF0DE2" w:rsidRPr="007F3E67">
        <w:rPr>
          <w:szCs w:val="24"/>
          <w:lang w:val="fr-FR"/>
        </w:rPr>
        <w:t xml:space="preserve">. </w:t>
      </w:r>
      <w:r w:rsidR="00695F3C" w:rsidRPr="007F3E67">
        <w:rPr>
          <w:szCs w:val="24"/>
          <w:lang w:val="fr-FR"/>
        </w:rPr>
        <w:t>Par ailleurs, e</w:t>
      </w:r>
      <w:r w:rsidR="00CF0DE2" w:rsidRPr="007F3E67">
        <w:rPr>
          <w:szCs w:val="24"/>
          <w:lang w:val="fr-FR"/>
        </w:rPr>
        <w:t xml:space="preserve">lle condamna un agent </w:t>
      </w:r>
      <w:r w:rsidR="003A33B9" w:rsidRPr="007F3E67">
        <w:rPr>
          <w:szCs w:val="24"/>
          <w:lang w:val="fr-FR"/>
        </w:rPr>
        <w:t xml:space="preserve">à </w:t>
      </w:r>
      <w:r w:rsidRPr="007F3E67">
        <w:rPr>
          <w:szCs w:val="24"/>
          <w:lang w:val="fr-FR"/>
        </w:rPr>
        <w:t xml:space="preserve">trois ans et deux </w:t>
      </w:r>
      <w:r w:rsidRPr="007F3E67">
        <w:rPr>
          <w:szCs w:val="24"/>
          <w:lang w:val="fr-FR"/>
        </w:rPr>
        <w:lastRenderedPageBreak/>
        <w:t>mois d</w:t>
      </w:r>
      <w:r w:rsidR="007F3E67" w:rsidRPr="007F3E67">
        <w:rPr>
          <w:szCs w:val="24"/>
          <w:lang w:val="fr-FR"/>
        </w:rPr>
        <w:t>’</w:t>
      </w:r>
      <w:r w:rsidR="003539A0" w:rsidRPr="007F3E67">
        <w:rPr>
          <w:szCs w:val="24"/>
          <w:lang w:val="fr-FR"/>
        </w:rPr>
        <w:t>emprisonnement</w:t>
      </w:r>
      <w:r w:rsidR="00CF0DE2" w:rsidRPr="007F3E67">
        <w:rPr>
          <w:szCs w:val="24"/>
          <w:lang w:val="fr-FR"/>
        </w:rPr>
        <w:t xml:space="preserve"> pour</w:t>
      </w:r>
      <w:r w:rsidR="008756CC" w:rsidRPr="007F3E67">
        <w:rPr>
          <w:szCs w:val="24"/>
          <w:lang w:val="fr-FR"/>
        </w:rPr>
        <w:t xml:space="preserve"> délit de</w:t>
      </w:r>
      <w:r w:rsidR="00CF0DE2" w:rsidRPr="007F3E67">
        <w:rPr>
          <w:szCs w:val="24"/>
          <w:lang w:val="fr-FR"/>
        </w:rPr>
        <w:t xml:space="preserve"> lésions corporelles. Ce dernier bénéficia d</w:t>
      </w:r>
      <w:r w:rsidR="007F3E67" w:rsidRPr="007F3E67">
        <w:rPr>
          <w:szCs w:val="24"/>
          <w:lang w:val="fr-FR"/>
        </w:rPr>
        <w:t>’</w:t>
      </w:r>
      <w:r w:rsidR="00CF0DE2" w:rsidRPr="007F3E67">
        <w:rPr>
          <w:szCs w:val="24"/>
          <w:lang w:val="fr-FR"/>
        </w:rPr>
        <w:t xml:space="preserve">une </w:t>
      </w:r>
      <w:r w:rsidRPr="007F3E67">
        <w:rPr>
          <w:lang w:val="fr-FR"/>
        </w:rPr>
        <w:t>remise de peine de trois ans</w:t>
      </w:r>
      <w:r w:rsidRPr="007F3E67">
        <w:rPr>
          <w:szCs w:val="24"/>
          <w:lang w:val="fr-FR"/>
        </w:rPr>
        <w:t>.</w:t>
      </w:r>
    </w:p>
    <w:p w:rsidR="00E235F1" w:rsidRPr="007F3E67" w:rsidRDefault="00695F3C" w:rsidP="007F3E67">
      <w:pPr>
        <w:pStyle w:val="ECHRPara"/>
        <w:rPr>
          <w:szCs w:val="24"/>
          <w:lang w:val="fr-FR"/>
        </w:rPr>
      </w:pPr>
      <w:r w:rsidRPr="007F3E67">
        <w:rPr>
          <w:szCs w:val="24"/>
          <w:lang w:val="fr-FR"/>
        </w:rPr>
        <w:t>S</w:t>
      </w:r>
      <w:r w:rsidR="007F3E67" w:rsidRPr="007F3E67">
        <w:rPr>
          <w:szCs w:val="24"/>
          <w:lang w:val="fr-FR"/>
        </w:rPr>
        <w:t>’</w:t>
      </w:r>
      <w:r w:rsidRPr="007F3E67">
        <w:rPr>
          <w:szCs w:val="24"/>
          <w:lang w:val="fr-FR"/>
        </w:rPr>
        <w:t>agissant du</w:t>
      </w:r>
      <w:r w:rsidR="00E432AA" w:rsidRPr="007F3E67">
        <w:rPr>
          <w:szCs w:val="24"/>
          <w:lang w:val="fr-FR"/>
        </w:rPr>
        <w:t xml:space="preserve"> délit de faux, </w:t>
      </w:r>
      <w:r w:rsidRPr="007F3E67">
        <w:rPr>
          <w:szCs w:val="24"/>
          <w:lang w:val="fr-FR"/>
        </w:rPr>
        <w:t>elle</w:t>
      </w:r>
      <w:r w:rsidR="00E235F1" w:rsidRPr="007F3E67">
        <w:rPr>
          <w:szCs w:val="24"/>
          <w:lang w:val="fr-FR"/>
        </w:rPr>
        <w:t xml:space="preserve"> condamna </w:t>
      </w:r>
      <w:r w:rsidR="003A33B9" w:rsidRPr="007F3E67">
        <w:rPr>
          <w:szCs w:val="24"/>
          <w:lang w:val="fr-FR"/>
        </w:rPr>
        <w:t>trois accusés</w:t>
      </w:r>
      <w:r w:rsidR="00E235F1" w:rsidRPr="007F3E67">
        <w:rPr>
          <w:szCs w:val="24"/>
          <w:lang w:val="fr-FR"/>
        </w:rPr>
        <w:t xml:space="preserve"> jugés non coupables en première instance à une peine d</w:t>
      </w:r>
      <w:r w:rsidR="007F3E67" w:rsidRPr="007F3E67">
        <w:rPr>
          <w:szCs w:val="24"/>
          <w:lang w:val="fr-FR"/>
        </w:rPr>
        <w:t>’</w:t>
      </w:r>
      <w:r w:rsidR="00E235F1" w:rsidRPr="007F3E67">
        <w:rPr>
          <w:szCs w:val="24"/>
          <w:lang w:val="fr-FR"/>
        </w:rPr>
        <w:t xml:space="preserve">un an et six mois </w:t>
      </w:r>
      <w:r w:rsidRPr="007F3E67">
        <w:rPr>
          <w:szCs w:val="24"/>
          <w:lang w:val="fr-FR"/>
        </w:rPr>
        <w:t>d</w:t>
      </w:r>
      <w:r w:rsidR="007F3E67" w:rsidRPr="007F3E67">
        <w:rPr>
          <w:szCs w:val="24"/>
          <w:lang w:val="fr-FR"/>
        </w:rPr>
        <w:t>’</w:t>
      </w:r>
      <w:r w:rsidRPr="007F3E67">
        <w:rPr>
          <w:szCs w:val="24"/>
          <w:lang w:val="fr-FR"/>
        </w:rPr>
        <w:t xml:space="preserve">emprisonnement </w:t>
      </w:r>
      <w:r w:rsidR="00E235F1" w:rsidRPr="007F3E67">
        <w:rPr>
          <w:szCs w:val="24"/>
          <w:lang w:val="fr-FR"/>
        </w:rPr>
        <w:t xml:space="preserve">avec sursis </w:t>
      </w:r>
      <w:r w:rsidR="009C7A0B" w:rsidRPr="007F3E67">
        <w:rPr>
          <w:szCs w:val="24"/>
          <w:lang w:val="fr-FR"/>
        </w:rPr>
        <w:t xml:space="preserve">et </w:t>
      </w:r>
      <w:r w:rsidR="00E235F1" w:rsidRPr="007F3E67">
        <w:rPr>
          <w:szCs w:val="24"/>
          <w:lang w:val="fr-FR"/>
        </w:rPr>
        <w:t xml:space="preserve">sans </w:t>
      </w:r>
      <w:r w:rsidR="00E235F1" w:rsidRPr="007F3E67">
        <w:rPr>
          <w:lang w:val="fr-FR"/>
        </w:rPr>
        <w:t>mention au casier judiciaire</w:t>
      </w:r>
      <w:r w:rsidR="002D60A8" w:rsidRPr="007F3E67">
        <w:rPr>
          <w:lang w:val="fr-FR"/>
        </w:rPr>
        <w:t xml:space="preserve"> et</w:t>
      </w:r>
      <w:r w:rsidR="00E432AA" w:rsidRPr="007F3E67">
        <w:rPr>
          <w:lang w:val="fr-FR"/>
        </w:rPr>
        <w:t xml:space="preserve"> </w:t>
      </w:r>
      <w:r w:rsidR="00E235F1" w:rsidRPr="007F3E67">
        <w:rPr>
          <w:szCs w:val="24"/>
          <w:lang w:val="fr-FR"/>
        </w:rPr>
        <w:t>un</w:t>
      </w:r>
      <w:r w:rsidR="00723F76" w:rsidRPr="007F3E67">
        <w:rPr>
          <w:szCs w:val="24"/>
          <w:lang w:val="fr-FR"/>
        </w:rPr>
        <w:t>e</w:t>
      </w:r>
      <w:r w:rsidR="00E432AA" w:rsidRPr="007F3E67">
        <w:rPr>
          <w:szCs w:val="24"/>
          <w:lang w:val="fr-FR"/>
        </w:rPr>
        <w:t xml:space="preserve"> quatrième</w:t>
      </w:r>
      <w:r w:rsidR="00E235F1" w:rsidRPr="007F3E67">
        <w:rPr>
          <w:szCs w:val="24"/>
          <w:lang w:val="fr-FR"/>
        </w:rPr>
        <w:t xml:space="preserve"> accusé</w:t>
      </w:r>
      <w:r w:rsidR="00723F76" w:rsidRPr="007F3E67">
        <w:rPr>
          <w:szCs w:val="24"/>
          <w:lang w:val="fr-FR"/>
        </w:rPr>
        <w:t>e</w:t>
      </w:r>
      <w:r w:rsidR="00E235F1" w:rsidRPr="007F3E67">
        <w:rPr>
          <w:szCs w:val="24"/>
          <w:lang w:val="fr-FR"/>
        </w:rPr>
        <w:t xml:space="preserve"> à deux ans </w:t>
      </w:r>
      <w:r w:rsidR="002D60A8" w:rsidRPr="007F3E67">
        <w:rPr>
          <w:szCs w:val="24"/>
          <w:lang w:val="fr-FR"/>
        </w:rPr>
        <w:t>d</w:t>
      </w:r>
      <w:r w:rsidR="007F3E67" w:rsidRPr="007F3E67">
        <w:rPr>
          <w:szCs w:val="24"/>
          <w:lang w:val="fr-FR"/>
        </w:rPr>
        <w:t>’</w:t>
      </w:r>
      <w:r w:rsidR="002D60A8" w:rsidRPr="007F3E67">
        <w:rPr>
          <w:szCs w:val="24"/>
          <w:lang w:val="fr-FR"/>
        </w:rPr>
        <w:t xml:space="preserve">emprisonnement </w:t>
      </w:r>
      <w:r w:rsidR="00E235F1" w:rsidRPr="007F3E67">
        <w:rPr>
          <w:szCs w:val="24"/>
          <w:lang w:val="fr-FR"/>
        </w:rPr>
        <w:t>avec sursis</w:t>
      </w:r>
      <w:r w:rsidR="00E235F1" w:rsidRPr="007F3E67">
        <w:rPr>
          <w:lang w:val="fr-FR"/>
        </w:rPr>
        <w:t xml:space="preserve"> </w:t>
      </w:r>
      <w:r w:rsidR="009C7A0B" w:rsidRPr="007F3E67">
        <w:rPr>
          <w:lang w:val="fr-FR"/>
        </w:rPr>
        <w:t xml:space="preserve">et </w:t>
      </w:r>
      <w:r w:rsidR="00E235F1" w:rsidRPr="007F3E67">
        <w:rPr>
          <w:lang w:val="fr-FR"/>
        </w:rPr>
        <w:t>sans mention au casier judiciaire</w:t>
      </w:r>
      <w:r w:rsidR="009C7A0B" w:rsidRPr="007F3E67">
        <w:rPr>
          <w:lang w:val="fr-FR"/>
        </w:rPr>
        <w:t>.</w:t>
      </w:r>
    </w:p>
    <w:p w:rsidR="00E235F1" w:rsidRPr="007F3E67" w:rsidRDefault="00E235F1" w:rsidP="007F3E67">
      <w:pPr>
        <w:pStyle w:val="ECHRPara"/>
        <w:rPr>
          <w:szCs w:val="24"/>
          <w:lang w:val="fr-FR"/>
        </w:rPr>
      </w:pPr>
      <w:r w:rsidRPr="007F3E67">
        <w:rPr>
          <w:szCs w:val="24"/>
          <w:lang w:val="fr-FR"/>
        </w:rPr>
        <w:fldChar w:fldCharType="begin"/>
      </w:r>
      <w:r w:rsidRPr="007F3E67">
        <w:rPr>
          <w:szCs w:val="24"/>
          <w:lang w:val="fr-FR"/>
        </w:rPr>
        <w:instrText xml:space="preserve"> SEQ level0 \*arabic </w:instrText>
      </w:r>
      <w:r w:rsidRPr="007F3E67">
        <w:rPr>
          <w:szCs w:val="24"/>
          <w:lang w:val="fr-FR"/>
        </w:rPr>
        <w:fldChar w:fldCharType="separate"/>
      </w:r>
      <w:r w:rsidR="007F3E67" w:rsidRPr="007F3E67">
        <w:rPr>
          <w:noProof/>
          <w:szCs w:val="24"/>
          <w:lang w:val="fr-FR"/>
        </w:rPr>
        <w:t>59</w:t>
      </w:r>
      <w:r w:rsidRPr="007F3E67">
        <w:rPr>
          <w:szCs w:val="24"/>
          <w:lang w:val="fr-FR"/>
        </w:rPr>
        <w:fldChar w:fldCharType="end"/>
      </w:r>
      <w:r w:rsidRPr="007F3E67">
        <w:rPr>
          <w:szCs w:val="24"/>
          <w:lang w:val="fr-FR"/>
        </w:rPr>
        <w:t>.  En</w:t>
      </w:r>
      <w:r w:rsidR="00E432AA" w:rsidRPr="007F3E67">
        <w:rPr>
          <w:szCs w:val="24"/>
          <w:lang w:val="fr-FR"/>
        </w:rPr>
        <w:t>fin</w:t>
      </w:r>
      <w:r w:rsidRPr="007F3E67">
        <w:rPr>
          <w:szCs w:val="24"/>
          <w:lang w:val="fr-FR"/>
        </w:rPr>
        <w:t xml:space="preserve">, </w:t>
      </w:r>
      <w:r w:rsidR="00E432AA" w:rsidRPr="007F3E67">
        <w:rPr>
          <w:szCs w:val="24"/>
          <w:lang w:val="fr-FR"/>
        </w:rPr>
        <w:t>elle</w:t>
      </w:r>
      <w:r w:rsidRPr="007F3E67">
        <w:rPr>
          <w:szCs w:val="24"/>
          <w:lang w:val="fr-FR"/>
        </w:rPr>
        <w:t xml:space="preserve"> prononça un non-lieu en raison de la prescription des délits </w:t>
      </w:r>
      <w:r w:rsidR="00B238CC" w:rsidRPr="007F3E67">
        <w:rPr>
          <w:szCs w:val="24"/>
          <w:lang w:val="fr-FR"/>
        </w:rPr>
        <w:t>dont étaient accusé</w:t>
      </w:r>
      <w:r w:rsidR="00ED25EB" w:rsidRPr="007F3E67">
        <w:rPr>
          <w:szCs w:val="24"/>
          <w:lang w:val="fr-FR"/>
        </w:rPr>
        <w:t>e</w:t>
      </w:r>
      <w:r w:rsidR="00B238CC" w:rsidRPr="007F3E67">
        <w:rPr>
          <w:szCs w:val="24"/>
          <w:lang w:val="fr-FR"/>
        </w:rPr>
        <w:t xml:space="preserve">s </w:t>
      </w:r>
      <w:r w:rsidRPr="007F3E67">
        <w:rPr>
          <w:szCs w:val="24"/>
          <w:lang w:val="fr-FR"/>
        </w:rPr>
        <w:t xml:space="preserve">vingt-huit </w:t>
      </w:r>
      <w:r w:rsidR="00B238CC" w:rsidRPr="007F3E67">
        <w:rPr>
          <w:szCs w:val="24"/>
          <w:lang w:val="fr-FR"/>
        </w:rPr>
        <w:t>personnes</w:t>
      </w:r>
      <w:r w:rsidR="004321D9" w:rsidRPr="007F3E67">
        <w:rPr>
          <w:szCs w:val="24"/>
          <w:lang w:val="fr-FR"/>
        </w:rPr>
        <w:t xml:space="preserve">, </w:t>
      </w:r>
      <w:r w:rsidR="00E432AA" w:rsidRPr="007F3E67">
        <w:rPr>
          <w:szCs w:val="24"/>
          <w:lang w:val="fr-FR"/>
        </w:rPr>
        <w:t xml:space="preserve">dont deux </w:t>
      </w:r>
      <w:r w:rsidR="008756CC" w:rsidRPr="007F3E67">
        <w:rPr>
          <w:szCs w:val="24"/>
          <w:lang w:val="fr-FR"/>
        </w:rPr>
        <w:t xml:space="preserve">personnes </w:t>
      </w:r>
      <w:r w:rsidR="00E432AA" w:rsidRPr="007F3E67">
        <w:rPr>
          <w:szCs w:val="24"/>
          <w:lang w:val="fr-FR"/>
        </w:rPr>
        <w:t>condamné</w:t>
      </w:r>
      <w:r w:rsidR="008756CC" w:rsidRPr="007F3E67">
        <w:rPr>
          <w:szCs w:val="24"/>
          <w:lang w:val="fr-FR"/>
        </w:rPr>
        <w:t>e</w:t>
      </w:r>
      <w:r w:rsidR="00E432AA" w:rsidRPr="007F3E67">
        <w:rPr>
          <w:szCs w:val="24"/>
          <w:lang w:val="fr-FR"/>
        </w:rPr>
        <w:t xml:space="preserve">s ayant bénéficié </w:t>
      </w:r>
      <w:r w:rsidR="00B238CC" w:rsidRPr="007F3E67">
        <w:rPr>
          <w:szCs w:val="24"/>
          <w:lang w:val="fr-FR"/>
        </w:rPr>
        <w:t>d</w:t>
      </w:r>
      <w:r w:rsidR="007F3E67" w:rsidRPr="007F3E67">
        <w:rPr>
          <w:szCs w:val="24"/>
          <w:lang w:val="fr-FR"/>
        </w:rPr>
        <w:t>’</w:t>
      </w:r>
      <w:r w:rsidR="00B238CC" w:rsidRPr="007F3E67">
        <w:rPr>
          <w:szCs w:val="24"/>
          <w:lang w:val="fr-FR"/>
        </w:rPr>
        <w:t>une</w:t>
      </w:r>
      <w:r w:rsidR="00E432AA" w:rsidRPr="007F3E67">
        <w:rPr>
          <w:szCs w:val="24"/>
          <w:lang w:val="fr-FR"/>
        </w:rPr>
        <w:t xml:space="preserve"> remise de peine en première instance </w:t>
      </w:r>
      <w:r w:rsidR="00B238CC" w:rsidRPr="007F3E67">
        <w:rPr>
          <w:szCs w:val="24"/>
          <w:lang w:val="fr-FR"/>
        </w:rPr>
        <w:t>(</w:t>
      </w:r>
      <w:r w:rsidR="0083716B" w:rsidRPr="007F3E67">
        <w:rPr>
          <w:szCs w:val="24"/>
          <w:lang w:val="fr-FR"/>
        </w:rPr>
        <w:t xml:space="preserve">paragraphe </w:t>
      </w:r>
      <w:r w:rsidR="0083716B" w:rsidRPr="007F3E67">
        <w:rPr>
          <w:szCs w:val="24"/>
          <w:lang w:val="fr-FR"/>
        </w:rPr>
        <w:fldChar w:fldCharType="begin"/>
      </w:r>
      <w:r w:rsidR="0083716B" w:rsidRPr="007F3E67">
        <w:rPr>
          <w:szCs w:val="24"/>
          <w:lang w:val="fr-FR"/>
        </w:rPr>
        <w:instrText xml:space="preserve"> REF I_Instance_CONDAMNATION \h </w:instrText>
      </w:r>
      <w:r w:rsidR="007E235C" w:rsidRPr="007F3E67">
        <w:rPr>
          <w:szCs w:val="24"/>
          <w:lang w:val="fr-FR"/>
        </w:rPr>
        <w:instrText xml:space="preserve"> \* MERGEFORMAT </w:instrText>
      </w:r>
      <w:r w:rsidR="0083716B" w:rsidRPr="007F3E67">
        <w:rPr>
          <w:szCs w:val="24"/>
          <w:lang w:val="fr-FR"/>
        </w:rPr>
      </w:r>
      <w:r w:rsidR="0083716B" w:rsidRPr="007F3E67">
        <w:rPr>
          <w:szCs w:val="24"/>
          <w:lang w:val="fr-FR"/>
        </w:rPr>
        <w:fldChar w:fldCharType="separate"/>
      </w:r>
      <w:r w:rsidR="007F3E67" w:rsidRPr="007F3E67">
        <w:rPr>
          <w:noProof/>
          <w:szCs w:val="24"/>
          <w:lang w:val="fr-FR"/>
        </w:rPr>
        <w:t>52</w:t>
      </w:r>
      <w:r w:rsidR="0083716B" w:rsidRPr="007F3E67">
        <w:rPr>
          <w:szCs w:val="24"/>
          <w:lang w:val="fr-FR"/>
        </w:rPr>
        <w:fldChar w:fldCharType="end"/>
      </w:r>
      <w:r w:rsidR="0083716B" w:rsidRPr="007F3E67">
        <w:rPr>
          <w:szCs w:val="24"/>
          <w:lang w:val="fr-FR"/>
        </w:rPr>
        <w:t xml:space="preserve"> ci</w:t>
      </w:r>
      <w:r w:rsidR="00836F9C" w:rsidRPr="007F3E67">
        <w:rPr>
          <w:szCs w:val="24"/>
          <w:lang w:val="fr-FR"/>
        </w:rPr>
        <w:noBreakHyphen/>
      </w:r>
      <w:r w:rsidR="0083716B" w:rsidRPr="007F3E67">
        <w:rPr>
          <w:szCs w:val="24"/>
          <w:lang w:val="fr-FR"/>
        </w:rPr>
        <w:t>dessus)</w:t>
      </w:r>
      <w:r w:rsidRPr="007F3E67">
        <w:rPr>
          <w:szCs w:val="24"/>
          <w:lang w:val="fr-FR"/>
        </w:rPr>
        <w:t xml:space="preserve">. Elle </w:t>
      </w:r>
      <w:r w:rsidR="00B238CC" w:rsidRPr="007F3E67">
        <w:rPr>
          <w:szCs w:val="24"/>
          <w:lang w:val="fr-FR"/>
        </w:rPr>
        <w:t xml:space="preserve">rendit également </w:t>
      </w:r>
      <w:r w:rsidRPr="007F3E67">
        <w:rPr>
          <w:szCs w:val="24"/>
          <w:lang w:val="fr-FR"/>
        </w:rPr>
        <w:t>un non-lieu à l</w:t>
      </w:r>
      <w:r w:rsidR="007F3E67" w:rsidRPr="007F3E67">
        <w:rPr>
          <w:szCs w:val="24"/>
          <w:lang w:val="fr-FR"/>
        </w:rPr>
        <w:t>’</w:t>
      </w:r>
      <w:r w:rsidRPr="007F3E67">
        <w:rPr>
          <w:szCs w:val="24"/>
          <w:lang w:val="fr-FR"/>
        </w:rPr>
        <w:t>égard d</w:t>
      </w:r>
      <w:r w:rsidR="007F3E67" w:rsidRPr="007F3E67">
        <w:rPr>
          <w:szCs w:val="24"/>
          <w:lang w:val="fr-FR"/>
        </w:rPr>
        <w:t>’</w:t>
      </w:r>
      <w:r w:rsidRPr="007F3E67">
        <w:rPr>
          <w:szCs w:val="24"/>
          <w:lang w:val="fr-FR"/>
        </w:rPr>
        <w:t xml:space="preserve">un autre accusé </w:t>
      </w:r>
      <w:r w:rsidR="008756CC" w:rsidRPr="007F3E67">
        <w:rPr>
          <w:szCs w:val="24"/>
          <w:lang w:val="fr-FR"/>
        </w:rPr>
        <w:t>décédé</w:t>
      </w:r>
      <w:r w:rsidRPr="007F3E67">
        <w:rPr>
          <w:szCs w:val="24"/>
          <w:lang w:val="fr-FR"/>
        </w:rPr>
        <w:t>.</w:t>
      </w:r>
    </w:p>
    <w:p w:rsidR="00E235F1" w:rsidRPr="007F3E67" w:rsidRDefault="00E235F1" w:rsidP="007F3E67">
      <w:pPr>
        <w:pStyle w:val="ECHRPara"/>
        <w:rPr>
          <w:szCs w:val="24"/>
          <w:lang w:val="fr-FR"/>
        </w:rPr>
      </w:pPr>
      <w:r w:rsidRPr="007F3E67">
        <w:rPr>
          <w:szCs w:val="24"/>
          <w:lang w:val="fr-FR"/>
        </w:rPr>
        <w:fldChar w:fldCharType="begin"/>
      </w:r>
      <w:r w:rsidRPr="007F3E67">
        <w:rPr>
          <w:szCs w:val="24"/>
          <w:lang w:val="fr-FR"/>
        </w:rPr>
        <w:instrText xml:space="preserve"> SEQ level0 \*arabic </w:instrText>
      </w:r>
      <w:r w:rsidRPr="007F3E67">
        <w:rPr>
          <w:szCs w:val="24"/>
          <w:lang w:val="fr-FR"/>
        </w:rPr>
        <w:fldChar w:fldCharType="separate"/>
      </w:r>
      <w:r w:rsidR="007F3E67" w:rsidRPr="007F3E67">
        <w:rPr>
          <w:noProof/>
          <w:szCs w:val="24"/>
          <w:lang w:val="fr-FR"/>
        </w:rPr>
        <w:t>60</w:t>
      </w:r>
      <w:r w:rsidRPr="007F3E67">
        <w:rPr>
          <w:szCs w:val="24"/>
          <w:lang w:val="fr-FR"/>
        </w:rPr>
        <w:fldChar w:fldCharType="end"/>
      </w:r>
      <w:r w:rsidRPr="007F3E67">
        <w:rPr>
          <w:szCs w:val="24"/>
          <w:lang w:val="fr-FR"/>
        </w:rPr>
        <w:t>.  </w:t>
      </w:r>
      <w:r w:rsidR="00B238CC" w:rsidRPr="007F3E67">
        <w:rPr>
          <w:szCs w:val="24"/>
          <w:lang w:val="fr-FR"/>
        </w:rPr>
        <w:t>Elle</w:t>
      </w:r>
      <w:r w:rsidRPr="007F3E67">
        <w:rPr>
          <w:szCs w:val="24"/>
          <w:lang w:val="fr-FR"/>
        </w:rPr>
        <w:t xml:space="preserve"> condamna </w:t>
      </w:r>
      <w:r w:rsidR="00E432AA" w:rsidRPr="007F3E67">
        <w:rPr>
          <w:szCs w:val="24"/>
          <w:lang w:val="fr-FR"/>
        </w:rPr>
        <w:t xml:space="preserve">également </w:t>
      </w:r>
      <w:r w:rsidRPr="007F3E67">
        <w:rPr>
          <w:szCs w:val="24"/>
          <w:lang w:val="fr-FR"/>
        </w:rPr>
        <w:t>tous les accusés (excepté ce</w:t>
      </w:r>
      <w:r w:rsidR="008756CC" w:rsidRPr="007F3E67">
        <w:rPr>
          <w:szCs w:val="24"/>
          <w:lang w:val="fr-FR"/>
        </w:rPr>
        <w:t xml:space="preserve"> dernier</w:t>
      </w:r>
      <w:r w:rsidRPr="007F3E67">
        <w:rPr>
          <w:szCs w:val="24"/>
          <w:lang w:val="fr-FR"/>
        </w:rPr>
        <w:t>)</w:t>
      </w:r>
      <w:r w:rsidRPr="007F3E67">
        <w:rPr>
          <w:lang w:val="fr-FR"/>
        </w:rPr>
        <w:t xml:space="preserve"> ainsi que les ministères de l</w:t>
      </w:r>
      <w:r w:rsidR="007F3E67" w:rsidRPr="007F3E67">
        <w:rPr>
          <w:lang w:val="fr-FR"/>
        </w:rPr>
        <w:t>’</w:t>
      </w:r>
      <w:r w:rsidRPr="007F3E67">
        <w:rPr>
          <w:lang w:val="fr-FR"/>
        </w:rPr>
        <w:t>Intérieur, de la Justice et de la Défense,</w:t>
      </w:r>
      <w:r w:rsidRPr="007F3E67">
        <w:rPr>
          <w:szCs w:val="24"/>
          <w:lang w:val="fr-FR"/>
        </w:rPr>
        <w:t xml:space="preserve"> aux frais et dépens de la procédure et </w:t>
      </w:r>
      <w:r w:rsidRPr="007F3E67">
        <w:rPr>
          <w:lang w:val="fr-FR"/>
        </w:rPr>
        <w:t>au dédommagement des parties civiles</w:t>
      </w:r>
      <w:r w:rsidR="008756CC" w:rsidRPr="007F3E67">
        <w:rPr>
          <w:lang w:val="fr-FR"/>
        </w:rPr>
        <w:t>. D</w:t>
      </w:r>
      <w:r w:rsidRPr="007F3E67">
        <w:rPr>
          <w:lang w:val="fr-FR"/>
        </w:rPr>
        <w:t xml:space="preserve">es </w:t>
      </w:r>
      <w:r w:rsidR="00ED25EB" w:rsidRPr="007F3E67">
        <w:rPr>
          <w:lang w:val="fr-FR"/>
        </w:rPr>
        <w:t xml:space="preserve">sommes </w:t>
      </w:r>
      <w:r w:rsidRPr="007F3E67">
        <w:rPr>
          <w:lang w:val="fr-FR"/>
        </w:rPr>
        <w:t>compris</w:t>
      </w:r>
      <w:r w:rsidR="00ED25EB" w:rsidRPr="007F3E67">
        <w:rPr>
          <w:lang w:val="fr-FR"/>
        </w:rPr>
        <w:t>es</w:t>
      </w:r>
      <w:r w:rsidRPr="007F3E67">
        <w:rPr>
          <w:lang w:val="fr-FR"/>
        </w:rPr>
        <w:t xml:space="preserve"> entre 5 000 et 30 000 EUR </w:t>
      </w:r>
      <w:r w:rsidR="008756CC" w:rsidRPr="007F3E67">
        <w:rPr>
          <w:lang w:val="fr-FR"/>
        </w:rPr>
        <w:t>furent</w:t>
      </w:r>
      <w:r w:rsidRPr="007F3E67">
        <w:rPr>
          <w:lang w:val="fr-FR"/>
        </w:rPr>
        <w:t xml:space="preserve"> accordé</w:t>
      </w:r>
      <w:r w:rsidR="00ED25EB" w:rsidRPr="007F3E67">
        <w:rPr>
          <w:lang w:val="fr-FR"/>
        </w:rPr>
        <w:t>e</w:t>
      </w:r>
      <w:r w:rsidRPr="007F3E67">
        <w:rPr>
          <w:lang w:val="fr-FR"/>
        </w:rPr>
        <w:t>s à titre de provision sur les dommages-intérêts</w:t>
      </w:r>
      <w:r w:rsidRPr="007F3E67">
        <w:rPr>
          <w:szCs w:val="24"/>
          <w:lang w:val="fr-FR"/>
        </w:rPr>
        <w:t>.</w:t>
      </w:r>
    </w:p>
    <w:p w:rsidR="00E235F1" w:rsidRPr="007F3E67" w:rsidRDefault="00E235F1" w:rsidP="007F3E67">
      <w:pPr>
        <w:pStyle w:val="ECHRPara"/>
        <w:rPr>
          <w:lang w:val="fr-FR"/>
        </w:rPr>
      </w:pPr>
      <w:r w:rsidRPr="007F3E67">
        <w:rPr>
          <w:lang w:val="fr-FR"/>
        </w:rPr>
        <w:fldChar w:fldCharType="begin"/>
      </w:r>
      <w:r w:rsidRPr="007F3E67">
        <w:rPr>
          <w:lang w:val="fr-FR"/>
        </w:rPr>
        <w:instrText xml:space="preserve"> SEQ level0 \*arabic </w:instrText>
      </w:r>
      <w:r w:rsidRPr="007F3E67">
        <w:rPr>
          <w:lang w:val="fr-FR"/>
        </w:rPr>
        <w:fldChar w:fldCharType="separate"/>
      </w:r>
      <w:r w:rsidR="007F3E67" w:rsidRPr="007F3E67">
        <w:rPr>
          <w:noProof/>
          <w:lang w:val="fr-FR"/>
        </w:rPr>
        <w:t>61</w:t>
      </w:r>
      <w:r w:rsidRPr="007F3E67">
        <w:rPr>
          <w:lang w:val="fr-FR"/>
        </w:rPr>
        <w:fldChar w:fldCharType="end"/>
      </w:r>
      <w:r w:rsidRPr="007F3E67">
        <w:rPr>
          <w:lang w:val="fr-FR"/>
        </w:rPr>
        <w:t>.  Dans les motifs de l</w:t>
      </w:r>
      <w:r w:rsidR="007F3E67" w:rsidRPr="007F3E67">
        <w:rPr>
          <w:lang w:val="fr-FR"/>
        </w:rPr>
        <w:t>’</w:t>
      </w:r>
      <w:r w:rsidRPr="007F3E67">
        <w:rPr>
          <w:lang w:val="fr-FR"/>
        </w:rPr>
        <w:t>arrêt, la cour d</w:t>
      </w:r>
      <w:r w:rsidR="007F3E67" w:rsidRPr="007F3E67">
        <w:rPr>
          <w:lang w:val="fr-FR"/>
        </w:rPr>
        <w:t>’</w:t>
      </w:r>
      <w:r w:rsidRPr="007F3E67">
        <w:rPr>
          <w:lang w:val="fr-FR"/>
        </w:rPr>
        <w:t>appel précisa tout d</w:t>
      </w:r>
      <w:r w:rsidR="007F3E67" w:rsidRPr="007F3E67">
        <w:rPr>
          <w:lang w:val="fr-FR"/>
        </w:rPr>
        <w:t>’</w:t>
      </w:r>
      <w:r w:rsidRPr="007F3E67">
        <w:rPr>
          <w:lang w:val="fr-FR"/>
        </w:rPr>
        <w:t>abord que, bien que les délits en question fussent prescrits, elle devait statuer sur les effets civils des infractions.</w:t>
      </w:r>
    </w:p>
    <w:p w:rsidR="00E235F1" w:rsidRPr="007F3E67" w:rsidRDefault="00E235F1" w:rsidP="007F3E67">
      <w:pPr>
        <w:pStyle w:val="ECHRPara"/>
        <w:rPr>
          <w:lang w:val="fr-FR"/>
        </w:rPr>
      </w:pPr>
      <w:r w:rsidRPr="007F3E67">
        <w:rPr>
          <w:lang w:val="fr-FR"/>
        </w:rPr>
        <w:fldChar w:fldCharType="begin"/>
      </w:r>
      <w:r w:rsidRPr="007F3E67">
        <w:rPr>
          <w:lang w:val="fr-FR"/>
        </w:rPr>
        <w:instrText xml:space="preserve"> SEQ level0 \*arabic </w:instrText>
      </w:r>
      <w:r w:rsidRPr="007F3E67">
        <w:rPr>
          <w:lang w:val="fr-FR"/>
        </w:rPr>
        <w:fldChar w:fldCharType="separate"/>
      </w:r>
      <w:r w:rsidR="007F3E67" w:rsidRPr="007F3E67">
        <w:rPr>
          <w:noProof/>
          <w:lang w:val="fr-FR"/>
        </w:rPr>
        <w:t>62</w:t>
      </w:r>
      <w:r w:rsidRPr="007F3E67">
        <w:rPr>
          <w:lang w:val="fr-FR"/>
        </w:rPr>
        <w:fldChar w:fldCharType="end"/>
      </w:r>
      <w:r w:rsidRPr="007F3E67">
        <w:rPr>
          <w:lang w:val="fr-FR"/>
        </w:rPr>
        <w:t xml:space="preserve">.  Elle </w:t>
      </w:r>
      <w:r w:rsidR="00B238CC" w:rsidRPr="007F3E67">
        <w:rPr>
          <w:lang w:val="fr-FR"/>
        </w:rPr>
        <w:t xml:space="preserve">indiqua </w:t>
      </w:r>
      <w:r w:rsidRPr="007F3E67">
        <w:rPr>
          <w:lang w:val="fr-FR"/>
        </w:rPr>
        <w:t>ensuite que la crédibilité des témoignages des victimes ne faisait aucun doute : d</w:t>
      </w:r>
      <w:r w:rsidR="007F3E67" w:rsidRPr="007F3E67">
        <w:rPr>
          <w:lang w:val="fr-FR"/>
        </w:rPr>
        <w:t>’</w:t>
      </w:r>
      <w:r w:rsidRPr="007F3E67">
        <w:rPr>
          <w:lang w:val="fr-FR"/>
        </w:rPr>
        <w:t xml:space="preserve">une part, </w:t>
      </w:r>
      <w:r w:rsidR="00B238CC" w:rsidRPr="007F3E67">
        <w:rPr>
          <w:lang w:val="fr-FR"/>
        </w:rPr>
        <w:t xml:space="preserve">lesdits témoignages </w:t>
      </w:r>
      <w:r w:rsidRPr="007F3E67">
        <w:rPr>
          <w:lang w:val="fr-FR"/>
        </w:rPr>
        <w:t>avaient été corroborés par la comparaison des diverses déclarations</w:t>
      </w:r>
      <w:r w:rsidR="00B238CC" w:rsidRPr="007F3E67">
        <w:rPr>
          <w:lang w:val="fr-FR"/>
        </w:rPr>
        <w:t xml:space="preserve">, </w:t>
      </w:r>
      <w:r w:rsidR="0083716B" w:rsidRPr="007F3E67">
        <w:rPr>
          <w:lang w:val="fr-FR"/>
        </w:rPr>
        <w:t xml:space="preserve">dont </w:t>
      </w:r>
      <w:r w:rsidR="00B238CC" w:rsidRPr="007F3E67">
        <w:rPr>
          <w:lang w:val="fr-FR"/>
        </w:rPr>
        <w:t>celles</w:t>
      </w:r>
      <w:r w:rsidR="0083716B" w:rsidRPr="007F3E67">
        <w:rPr>
          <w:lang w:val="fr-FR"/>
        </w:rPr>
        <w:t xml:space="preserve"> de deux infirmiers et d</w:t>
      </w:r>
      <w:r w:rsidR="007F3E67" w:rsidRPr="007F3E67">
        <w:rPr>
          <w:lang w:val="fr-FR"/>
        </w:rPr>
        <w:t>’</w:t>
      </w:r>
      <w:r w:rsidR="0083716B" w:rsidRPr="007F3E67">
        <w:rPr>
          <w:lang w:val="fr-FR"/>
        </w:rPr>
        <w:t>un inspecteur de police</w:t>
      </w:r>
      <w:r w:rsidRPr="007F3E67">
        <w:rPr>
          <w:lang w:val="fr-FR"/>
        </w:rPr>
        <w:t xml:space="preserve">, par les aveux partiels de certains accusés </w:t>
      </w:r>
      <w:r w:rsidR="00B238CC" w:rsidRPr="007F3E67">
        <w:rPr>
          <w:lang w:val="fr-FR"/>
        </w:rPr>
        <w:t xml:space="preserve">ainsi que </w:t>
      </w:r>
      <w:r w:rsidRPr="007F3E67">
        <w:rPr>
          <w:lang w:val="fr-FR"/>
        </w:rPr>
        <w:t>par plusieurs pièces du dossier ; d</w:t>
      </w:r>
      <w:r w:rsidR="007F3E67" w:rsidRPr="007F3E67">
        <w:rPr>
          <w:lang w:val="fr-FR"/>
        </w:rPr>
        <w:t>’</w:t>
      </w:r>
      <w:r w:rsidRPr="007F3E67">
        <w:rPr>
          <w:lang w:val="fr-FR"/>
        </w:rPr>
        <w:t xml:space="preserve">autre part, </w:t>
      </w:r>
      <w:r w:rsidR="007D3AB5" w:rsidRPr="007F3E67">
        <w:rPr>
          <w:lang w:val="fr-FR"/>
        </w:rPr>
        <w:t>ces témoignages</w:t>
      </w:r>
      <w:r w:rsidRPr="007F3E67">
        <w:rPr>
          <w:lang w:val="fr-FR"/>
        </w:rPr>
        <w:t xml:space="preserve"> présentaient les caractéristiques typiques des récits de victimes d</w:t>
      </w:r>
      <w:r w:rsidR="007F3E67" w:rsidRPr="007F3E67">
        <w:rPr>
          <w:lang w:val="fr-FR"/>
        </w:rPr>
        <w:t>’</w:t>
      </w:r>
      <w:r w:rsidRPr="007F3E67">
        <w:rPr>
          <w:lang w:val="fr-FR"/>
        </w:rPr>
        <w:t>événements traumatiques et faisaient état d</w:t>
      </w:r>
      <w:r w:rsidR="007F3E67" w:rsidRPr="007F3E67">
        <w:rPr>
          <w:lang w:val="fr-FR"/>
        </w:rPr>
        <w:t>’</w:t>
      </w:r>
      <w:r w:rsidRPr="007F3E67">
        <w:rPr>
          <w:lang w:val="fr-FR"/>
        </w:rPr>
        <w:t>une volonté sincère de restituer la vérité.</w:t>
      </w:r>
    </w:p>
    <w:p w:rsidR="00E235F1" w:rsidRPr="007F3E67" w:rsidRDefault="00E235F1" w:rsidP="007F3E67">
      <w:pPr>
        <w:pStyle w:val="ECHRPara"/>
        <w:rPr>
          <w:szCs w:val="24"/>
          <w:lang w:val="fr-FR"/>
        </w:rPr>
      </w:pPr>
      <w:r w:rsidRPr="007F3E67">
        <w:rPr>
          <w:lang w:val="fr-FR"/>
        </w:rPr>
        <w:fldChar w:fldCharType="begin"/>
      </w:r>
      <w:r w:rsidRPr="007F3E67">
        <w:rPr>
          <w:lang w:val="fr-FR"/>
        </w:rPr>
        <w:instrText xml:space="preserve"> SEQ level0 \*arabic </w:instrText>
      </w:r>
      <w:r w:rsidRPr="007F3E67">
        <w:rPr>
          <w:lang w:val="fr-FR"/>
        </w:rPr>
        <w:fldChar w:fldCharType="separate"/>
      </w:r>
      <w:r w:rsidR="007F3E67" w:rsidRPr="007F3E67">
        <w:rPr>
          <w:noProof/>
          <w:lang w:val="fr-FR"/>
        </w:rPr>
        <w:t>63</w:t>
      </w:r>
      <w:r w:rsidRPr="007F3E67">
        <w:rPr>
          <w:lang w:val="fr-FR"/>
        </w:rPr>
        <w:fldChar w:fldCharType="end"/>
      </w:r>
      <w:r w:rsidRPr="007F3E67">
        <w:rPr>
          <w:lang w:val="fr-FR"/>
        </w:rPr>
        <w:t>.  Quant aux événements qui s</w:t>
      </w:r>
      <w:r w:rsidR="007F3E67" w:rsidRPr="007F3E67">
        <w:rPr>
          <w:lang w:val="fr-FR"/>
        </w:rPr>
        <w:t>’</w:t>
      </w:r>
      <w:r w:rsidRPr="007F3E67">
        <w:rPr>
          <w:lang w:val="fr-FR"/>
        </w:rPr>
        <w:t>étaient produits à la caserne de Bolzaneto, la cour d</w:t>
      </w:r>
      <w:r w:rsidR="007F3E67" w:rsidRPr="007F3E67">
        <w:rPr>
          <w:lang w:val="fr-FR"/>
        </w:rPr>
        <w:t>’</w:t>
      </w:r>
      <w:r w:rsidRPr="007F3E67">
        <w:rPr>
          <w:lang w:val="fr-FR"/>
        </w:rPr>
        <w:t>appel observa que toutes les personnes ayant transité</w:t>
      </w:r>
      <w:r w:rsidR="008756CC" w:rsidRPr="007F3E67">
        <w:rPr>
          <w:lang w:val="fr-FR"/>
        </w:rPr>
        <w:t xml:space="preserve"> par ce centre y</w:t>
      </w:r>
      <w:r w:rsidRPr="007F3E67">
        <w:rPr>
          <w:lang w:val="fr-FR"/>
        </w:rPr>
        <w:t xml:space="preserve"> avaient </w:t>
      </w:r>
      <w:r w:rsidR="008756CC" w:rsidRPr="007F3E67">
        <w:rPr>
          <w:lang w:val="fr-FR"/>
        </w:rPr>
        <w:t>été</w:t>
      </w:r>
      <w:r w:rsidRPr="007F3E67">
        <w:rPr>
          <w:lang w:val="fr-FR"/>
        </w:rPr>
        <w:t xml:space="preserve"> l</w:t>
      </w:r>
      <w:r w:rsidR="007F3E67" w:rsidRPr="007F3E67">
        <w:rPr>
          <w:lang w:val="fr-FR"/>
        </w:rPr>
        <w:t>’</w:t>
      </w:r>
      <w:r w:rsidRPr="007F3E67">
        <w:rPr>
          <w:lang w:val="fr-FR"/>
        </w:rPr>
        <w:t>objet d</w:t>
      </w:r>
      <w:r w:rsidR="00836F9C" w:rsidRPr="007F3E67">
        <w:rPr>
          <w:szCs w:val="24"/>
          <w:lang w:val="fr-FR"/>
        </w:rPr>
        <w:t xml:space="preserve">e sévices de toutes sortes, </w:t>
      </w:r>
      <w:r w:rsidR="008756CC" w:rsidRPr="007F3E67">
        <w:rPr>
          <w:szCs w:val="24"/>
          <w:lang w:val="fr-FR"/>
        </w:rPr>
        <w:t>continus</w:t>
      </w:r>
      <w:r w:rsidRPr="007F3E67">
        <w:rPr>
          <w:szCs w:val="24"/>
          <w:lang w:val="fr-FR"/>
        </w:rPr>
        <w:t xml:space="preserve"> et systématique</w:t>
      </w:r>
      <w:r w:rsidR="008756CC" w:rsidRPr="007F3E67">
        <w:rPr>
          <w:szCs w:val="24"/>
          <w:lang w:val="fr-FR"/>
        </w:rPr>
        <w:t>s</w:t>
      </w:r>
      <w:r w:rsidR="00836F9C" w:rsidRPr="007F3E67">
        <w:rPr>
          <w:szCs w:val="24"/>
          <w:lang w:val="fr-FR"/>
        </w:rPr>
        <w:t>,</w:t>
      </w:r>
      <w:r w:rsidRPr="007F3E67">
        <w:rPr>
          <w:szCs w:val="24"/>
          <w:lang w:val="fr-FR"/>
        </w:rPr>
        <w:t xml:space="preserve"> par des agents de la police pénitentiaire ou des agents des forces de l</w:t>
      </w:r>
      <w:r w:rsidR="007F3E67" w:rsidRPr="007F3E67">
        <w:rPr>
          <w:szCs w:val="24"/>
          <w:lang w:val="fr-FR"/>
        </w:rPr>
        <w:t>’</w:t>
      </w:r>
      <w:r w:rsidR="007D3AB5" w:rsidRPr="007F3E67">
        <w:rPr>
          <w:szCs w:val="24"/>
          <w:lang w:val="fr-FR"/>
        </w:rPr>
        <w:t>ordre ayant participé</w:t>
      </w:r>
      <w:r w:rsidRPr="007F3E67">
        <w:rPr>
          <w:szCs w:val="24"/>
          <w:lang w:val="fr-FR"/>
        </w:rPr>
        <w:t>, pour la plupart, à la gestion de l</w:t>
      </w:r>
      <w:r w:rsidR="007F3E67" w:rsidRPr="007F3E67">
        <w:rPr>
          <w:szCs w:val="24"/>
          <w:lang w:val="fr-FR"/>
        </w:rPr>
        <w:t>’</w:t>
      </w:r>
      <w:r w:rsidRPr="007F3E67">
        <w:rPr>
          <w:szCs w:val="24"/>
          <w:lang w:val="fr-FR"/>
        </w:rPr>
        <w:t>ordre public dans la ville au cours des manifestations.</w:t>
      </w:r>
    </w:p>
    <w:bookmarkStart w:id="8" w:name="tunnel_agents"/>
    <w:p w:rsidR="00E235F1" w:rsidRPr="007F3E67" w:rsidRDefault="00E235F1" w:rsidP="007F3E67">
      <w:pPr>
        <w:pStyle w:val="ECHRPara"/>
        <w:rPr>
          <w:szCs w:val="24"/>
          <w:lang w:val="fr-FR"/>
        </w:rPr>
      </w:pPr>
      <w:r w:rsidRPr="007F3E67">
        <w:rPr>
          <w:szCs w:val="24"/>
          <w:lang w:val="fr-FR"/>
        </w:rPr>
        <w:fldChar w:fldCharType="begin"/>
      </w:r>
      <w:r w:rsidRPr="007F3E67">
        <w:rPr>
          <w:szCs w:val="24"/>
          <w:lang w:val="fr-FR"/>
        </w:rPr>
        <w:instrText xml:space="preserve"> SEQ level0 \*arabic </w:instrText>
      </w:r>
      <w:r w:rsidRPr="007F3E67">
        <w:rPr>
          <w:szCs w:val="24"/>
          <w:lang w:val="fr-FR"/>
        </w:rPr>
        <w:fldChar w:fldCharType="separate"/>
      </w:r>
      <w:r w:rsidR="007F3E67" w:rsidRPr="007F3E67">
        <w:rPr>
          <w:noProof/>
          <w:szCs w:val="24"/>
          <w:lang w:val="fr-FR"/>
        </w:rPr>
        <w:t>64</w:t>
      </w:r>
      <w:r w:rsidRPr="007F3E67">
        <w:rPr>
          <w:szCs w:val="24"/>
          <w:lang w:val="fr-FR"/>
        </w:rPr>
        <w:fldChar w:fldCharType="end"/>
      </w:r>
      <w:bookmarkEnd w:id="8"/>
      <w:r w:rsidRPr="007F3E67">
        <w:rPr>
          <w:szCs w:val="24"/>
          <w:lang w:val="fr-FR"/>
        </w:rPr>
        <w:t xml:space="preserve">.  En effet, </w:t>
      </w:r>
      <w:r w:rsidR="002D0889" w:rsidRPr="007F3E67">
        <w:rPr>
          <w:szCs w:val="24"/>
          <w:lang w:val="fr-FR"/>
        </w:rPr>
        <w:t xml:space="preserve">elle nota que, </w:t>
      </w:r>
      <w:r w:rsidRPr="007F3E67">
        <w:rPr>
          <w:szCs w:val="24"/>
          <w:lang w:val="fr-FR"/>
        </w:rPr>
        <w:t xml:space="preserve">dès leur arrivée et tout au long de leur détention </w:t>
      </w:r>
      <w:r w:rsidR="008756CC" w:rsidRPr="007F3E67">
        <w:rPr>
          <w:szCs w:val="24"/>
          <w:lang w:val="fr-FR"/>
        </w:rPr>
        <w:t>dans</w:t>
      </w:r>
      <w:r w:rsidRPr="007F3E67">
        <w:rPr>
          <w:szCs w:val="24"/>
          <w:lang w:val="fr-FR"/>
        </w:rPr>
        <w:t xml:space="preserve"> la caserne, ces personnes, parfois déjà éprouvées par les violences subies lors de l</w:t>
      </w:r>
      <w:r w:rsidR="007F3E67" w:rsidRPr="007F3E67">
        <w:rPr>
          <w:szCs w:val="24"/>
          <w:lang w:val="fr-FR"/>
        </w:rPr>
        <w:t>’</w:t>
      </w:r>
      <w:r w:rsidRPr="007F3E67">
        <w:rPr>
          <w:szCs w:val="24"/>
          <w:lang w:val="fr-FR"/>
        </w:rPr>
        <w:t xml:space="preserve">arrestation, </w:t>
      </w:r>
      <w:r w:rsidR="00836F9C" w:rsidRPr="007F3E67">
        <w:rPr>
          <w:szCs w:val="24"/>
          <w:lang w:val="fr-FR"/>
        </w:rPr>
        <w:t>avaient</w:t>
      </w:r>
      <w:r w:rsidR="002D0889" w:rsidRPr="007F3E67">
        <w:rPr>
          <w:szCs w:val="24"/>
          <w:lang w:val="fr-FR"/>
        </w:rPr>
        <w:t xml:space="preserve"> </w:t>
      </w:r>
      <w:r w:rsidRPr="007F3E67">
        <w:rPr>
          <w:szCs w:val="24"/>
          <w:lang w:val="fr-FR"/>
        </w:rPr>
        <w:t xml:space="preserve">été obligées de se tenir dans des positions vexatoires et </w:t>
      </w:r>
      <w:r w:rsidR="00836F9C" w:rsidRPr="007F3E67">
        <w:rPr>
          <w:szCs w:val="24"/>
          <w:lang w:val="fr-FR"/>
        </w:rPr>
        <w:t>avaient</w:t>
      </w:r>
      <w:r w:rsidR="002D0889" w:rsidRPr="007F3E67">
        <w:rPr>
          <w:szCs w:val="24"/>
          <w:lang w:val="fr-FR"/>
        </w:rPr>
        <w:t xml:space="preserve"> </w:t>
      </w:r>
      <w:r w:rsidRPr="007F3E67">
        <w:rPr>
          <w:szCs w:val="24"/>
          <w:lang w:val="fr-FR"/>
        </w:rPr>
        <w:t>été l</w:t>
      </w:r>
      <w:r w:rsidR="007F3E67" w:rsidRPr="007F3E67">
        <w:rPr>
          <w:szCs w:val="24"/>
          <w:lang w:val="fr-FR"/>
        </w:rPr>
        <w:t>’</w:t>
      </w:r>
      <w:r w:rsidRPr="007F3E67">
        <w:rPr>
          <w:szCs w:val="24"/>
          <w:lang w:val="fr-FR"/>
        </w:rPr>
        <w:t>objet de coups, de menaces et d</w:t>
      </w:r>
      <w:r w:rsidR="007F3E67" w:rsidRPr="007F3E67">
        <w:rPr>
          <w:szCs w:val="24"/>
          <w:lang w:val="fr-FR"/>
        </w:rPr>
        <w:t>’</w:t>
      </w:r>
      <w:r w:rsidRPr="007F3E67">
        <w:rPr>
          <w:szCs w:val="24"/>
          <w:lang w:val="fr-FR"/>
        </w:rPr>
        <w:t>injures à caractère principalement politique et sexuel. Même à l</w:t>
      </w:r>
      <w:r w:rsidR="007F3E67" w:rsidRPr="007F3E67">
        <w:rPr>
          <w:szCs w:val="24"/>
          <w:lang w:val="fr-FR"/>
        </w:rPr>
        <w:t>’</w:t>
      </w:r>
      <w:r w:rsidRPr="007F3E67">
        <w:rPr>
          <w:szCs w:val="24"/>
          <w:lang w:val="fr-FR"/>
        </w:rPr>
        <w:t xml:space="preserve">infirmerie, les médecins et les agents présents auraient ostensiblement contribué, par des actes ou des omissions, à provoquer et à accroître la terreur et la panique chez les </w:t>
      </w:r>
      <w:r w:rsidRPr="007F3E67">
        <w:rPr>
          <w:lang w:val="fr-FR"/>
        </w:rPr>
        <w:t>personnes arrêtées</w:t>
      </w:r>
      <w:r w:rsidRPr="007F3E67">
        <w:rPr>
          <w:szCs w:val="24"/>
          <w:lang w:val="fr-FR"/>
        </w:rPr>
        <w:t>. La cour d</w:t>
      </w:r>
      <w:r w:rsidR="007F3E67" w:rsidRPr="007F3E67">
        <w:rPr>
          <w:szCs w:val="24"/>
          <w:lang w:val="fr-FR"/>
        </w:rPr>
        <w:t>’</w:t>
      </w:r>
      <w:r w:rsidRPr="007F3E67">
        <w:rPr>
          <w:szCs w:val="24"/>
          <w:lang w:val="fr-FR"/>
        </w:rPr>
        <w:t xml:space="preserve">appel </w:t>
      </w:r>
      <w:r w:rsidR="002D0889" w:rsidRPr="007F3E67">
        <w:rPr>
          <w:szCs w:val="24"/>
          <w:lang w:val="fr-FR"/>
        </w:rPr>
        <w:t xml:space="preserve">releva </w:t>
      </w:r>
      <w:r w:rsidRPr="007F3E67">
        <w:rPr>
          <w:szCs w:val="24"/>
          <w:lang w:val="fr-FR"/>
        </w:rPr>
        <w:t>que ce</w:t>
      </w:r>
      <w:r w:rsidR="007D3AB5" w:rsidRPr="007F3E67">
        <w:rPr>
          <w:szCs w:val="24"/>
          <w:lang w:val="fr-FR"/>
        </w:rPr>
        <w:t>rtaines</w:t>
      </w:r>
      <w:r w:rsidRPr="007F3E67">
        <w:rPr>
          <w:szCs w:val="24"/>
          <w:lang w:val="fr-FR"/>
        </w:rPr>
        <w:t>, blessées lors de l</w:t>
      </w:r>
      <w:r w:rsidR="007F3E67" w:rsidRPr="007F3E67">
        <w:rPr>
          <w:szCs w:val="24"/>
          <w:lang w:val="fr-FR"/>
        </w:rPr>
        <w:t>’</w:t>
      </w:r>
      <w:r w:rsidRPr="007F3E67">
        <w:rPr>
          <w:szCs w:val="24"/>
          <w:lang w:val="fr-FR"/>
        </w:rPr>
        <w:t xml:space="preserve">arrestation ou à la caserne, auraient, en tout état de cause, nécessité des soins adéquats, voire une hospitalisation immédiate. </w:t>
      </w:r>
      <w:r w:rsidR="008756CC" w:rsidRPr="007F3E67">
        <w:rPr>
          <w:szCs w:val="24"/>
          <w:lang w:val="fr-FR"/>
        </w:rPr>
        <w:lastRenderedPageBreak/>
        <w:t>De surcroît, elle remarqua aussi que le couloir de la caserne avait été surnommé « le tunnel des agents », car les nombreux passages des personnes arrêtées avaient eu lieu entre deux rangées d</w:t>
      </w:r>
      <w:r w:rsidR="007F3E67" w:rsidRPr="007F3E67">
        <w:rPr>
          <w:szCs w:val="24"/>
          <w:lang w:val="fr-FR"/>
        </w:rPr>
        <w:t>’</w:t>
      </w:r>
      <w:r w:rsidR="008756CC" w:rsidRPr="007F3E67">
        <w:rPr>
          <w:szCs w:val="24"/>
          <w:lang w:val="fr-FR"/>
        </w:rPr>
        <w:t>agents les injuriant et les tabassant</w:t>
      </w:r>
      <w:r w:rsidRPr="007F3E67">
        <w:rPr>
          <w:szCs w:val="24"/>
          <w:lang w:val="fr-FR"/>
        </w:rPr>
        <w:t>.</w:t>
      </w:r>
    </w:p>
    <w:p w:rsidR="00E235F1" w:rsidRPr="007F3E67" w:rsidRDefault="00E235F1" w:rsidP="007F3E67">
      <w:pPr>
        <w:pStyle w:val="ECHRPara"/>
        <w:rPr>
          <w:lang w:val="fr-FR"/>
        </w:rPr>
      </w:pPr>
      <w:r w:rsidRPr="007F3E67">
        <w:rPr>
          <w:szCs w:val="24"/>
          <w:lang w:val="fr-FR"/>
        </w:rPr>
        <w:fldChar w:fldCharType="begin"/>
      </w:r>
      <w:r w:rsidRPr="007F3E67">
        <w:rPr>
          <w:szCs w:val="24"/>
          <w:lang w:val="fr-FR"/>
        </w:rPr>
        <w:instrText xml:space="preserve"> SEQ level0 \*arabic </w:instrText>
      </w:r>
      <w:r w:rsidRPr="007F3E67">
        <w:rPr>
          <w:szCs w:val="24"/>
          <w:lang w:val="fr-FR"/>
        </w:rPr>
        <w:fldChar w:fldCharType="separate"/>
      </w:r>
      <w:r w:rsidR="007F3E67" w:rsidRPr="007F3E67">
        <w:rPr>
          <w:noProof/>
          <w:szCs w:val="24"/>
          <w:lang w:val="fr-FR"/>
        </w:rPr>
        <w:t>65</w:t>
      </w:r>
      <w:r w:rsidRPr="007F3E67">
        <w:rPr>
          <w:szCs w:val="24"/>
          <w:lang w:val="fr-FR"/>
        </w:rPr>
        <w:fldChar w:fldCharType="end"/>
      </w:r>
      <w:r w:rsidRPr="007F3E67">
        <w:rPr>
          <w:szCs w:val="24"/>
          <w:lang w:val="fr-FR"/>
        </w:rPr>
        <w:t>.  La cour d</w:t>
      </w:r>
      <w:r w:rsidR="007F3E67" w:rsidRPr="007F3E67">
        <w:rPr>
          <w:szCs w:val="24"/>
          <w:lang w:val="fr-FR"/>
        </w:rPr>
        <w:t>’</w:t>
      </w:r>
      <w:r w:rsidRPr="007F3E67">
        <w:rPr>
          <w:szCs w:val="24"/>
          <w:lang w:val="fr-FR"/>
        </w:rPr>
        <w:t>appel ajouta que de nombreux autres éléments avaient</w:t>
      </w:r>
      <w:r w:rsidRPr="007F3E67">
        <w:rPr>
          <w:lang w:val="fr-FR"/>
        </w:rPr>
        <w:t xml:space="preserve"> </w:t>
      </w:r>
      <w:r w:rsidRPr="007F3E67">
        <w:rPr>
          <w:szCs w:val="24"/>
          <w:lang w:val="fr-FR"/>
        </w:rPr>
        <w:t>brisé la résistance physique et psychologique des personnes arrêtées et temporairement détenues à la caserne, à savoir : l</w:t>
      </w:r>
      <w:r w:rsidR="007F3E67" w:rsidRPr="007F3E67">
        <w:rPr>
          <w:szCs w:val="24"/>
          <w:lang w:val="fr-FR"/>
        </w:rPr>
        <w:t>’</w:t>
      </w:r>
      <w:r w:rsidRPr="007F3E67">
        <w:rPr>
          <w:szCs w:val="24"/>
          <w:lang w:val="fr-FR"/>
        </w:rPr>
        <w:t xml:space="preserve">interdiction de regarder les agents ; la privation ou la destruction injustifiée </w:t>
      </w:r>
      <w:r w:rsidR="002D0889" w:rsidRPr="007F3E67">
        <w:rPr>
          <w:szCs w:val="24"/>
          <w:lang w:val="fr-FR"/>
        </w:rPr>
        <w:t xml:space="preserve">des </w:t>
      </w:r>
      <w:r w:rsidRPr="007F3E67">
        <w:rPr>
          <w:szCs w:val="24"/>
          <w:lang w:val="fr-FR"/>
        </w:rPr>
        <w:t>effets personnels ; le fait – tout en étant soumis à l</w:t>
      </w:r>
      <w:r w:rsidR="007F3E67" w:rsidRPr="007F3E67">
        <w:rPr>
          <w:szCs w:val="24"/>
          <w:lang w:val="fr-FR"/>
        </w:rPr>
        <w:t>’</w:t>
      </w:r>
      <w:r w:rsidRPr="007F3E67">
        <w:rPr>
          <w:szCs w:val="24"/>
          <w:lang w:val="fr-FR"/>
        </w:rPr>
        <w:t>interdiction de communiquer entre détenus et donc à l</w:t>
      </w:r>
      <w:r w:rsidR="007F3E67" w:rsidRPr="007F3E67">
        <w:rPr>
          <w:szCs w:val="24"/>
          <w:lang w:val="fr-FR"/>
        </w:rPr>
        <w:t>’</w:t>
      </w:r>
      <w:r w:rsidRPr="007F3E67">
        <w:rPr>
          <w:szCs w:val="24"/>
          <w:lang w:val="fr-FR"/>
        </w:rPr>
        <w:t xml:space="preserve">impossibilité de chercher un </w:t>
      </w:r>
      <w:r w:rsidR="002D0889" w:rsidRPr="007F3E67">
        <w:rPr>
          <w:szCs w:val="24"/>
          <w:lang w:val="fr-FR"/>
        </w:rPr>
        <w:t>ré</w:t>
      </w:r>
      <w:r w:rsidRPr="007F3E67">
        <w:rPr>
          <w:szCs w:val="24"/>
          <w:lang w:val="fr-FR"/>
        </w:rPr>
        <w:t xml:space="preserve">confort mutuel – de devoir assister aux sévices infligés aux autres </w:t>
      </w:r>
      <w:r w:rsidRPr="007F3E67">
        <w:rPr>
          <w:lang w:val="fr-FR"/>
        </w:rPr>
        <w:t>personnes arrêtées</w:t>
      </w:r>
      <w:r w:rsidRPr="007F3E67">
        <w:rPr>
          <w:szCs w:val="24"/>
          <w:lang w:val="fr-FR"/>
        </w:rPr>
        <w:t>, d</w:t>
      </w:r>
      <w:r w:rsidR="007F3E67" w:rsidRPr="007F3E67">
        <w:rPr>
          <w:szCs w:val="24"/>
          <w:lang w:val="fr-FR"/>
        </w:rPr>
        <w:t>’</w:t>
      </w:r>
      <w:r w:rsidRPr="007F3E67">
        <w:rPr>
          <w:szCs w:val="24"/>
          <w:lang w:val="fr-FR"/>
        </w:rPr>
        <w:t>écouter les cris de celles-ci ou de voir leur sang, leurs vomissures, leur urine ; l</w:t>
      </w:r>
      <w:r w:rsidR="007F3E67" w:rsidRPr="007F3E67">
        <w:rPr>
          <w:szCs w:val="24"/>
          <w:lang w:val="fr-FR"/>
        </w:rPr>
        <w:t>’</w:t>
      </w:r>
      <w:r w:rsidRPr="007F3E67">
        <w:rPr>
          <w:szCs w:val="24"/>
          <w:lang w:val="fr-FR"/>
        </w:rPr>
        <w:t>impossibilité d</w:t>
      </w:r>
      <w:r w:rsidR="007F3E67" w:rsidRPr="007F3E67">
        <w:rPr>
          <w:szCs w:val="24"/>
          <w:lang w:val="fr-FR"/>
        </w:rPr>
        <w:t>’</w:t>
      </w:r>
      <w:r w:rsidRPr="007F3E67">
        <w:rPr>
          <w:szCs w:val="24"/>
          <w:lang w:val="fr-FR"/>
        </w:rPr>
        <w:t>accéder régulièrement aux toilettes et de les utiliser à l</w:t>
      </w:r>
      <w:r w:rsidR="007F3E67" w:rsidRPr="007F3E67">
        <w:rPr>
          <w:szCs w:val="24"/>
          <w:lang w:val="fr-FR"/>
        </w:rPr>
        <w:t>’</w:t>
      </w:r>
      <w:r w:rsidRPr="007F3E67">
        <w:rPr>
          <w:szCs w:val="24"/>
          <w:lang w:val="fr-FR"/>
        </w:rPr>
        <w:t>abri des regards et des injures des agents ; la privation d</w:t>
      </w:r>
      <w:r w:rsidR="007F3E67" w:rsidRPr="007F3E67">
        <w:rPr>
          <w:szCs w:val="24"/>
          <w:lang w:val="fr-FR"/>
        </w:rPr>
        <w:t>’</w:t>
      </w:r>
      <w:r w:rsidRPr="007F3E67">
        <w:rPr>
          <w:szCs w:val="24"/>
          <w:lang w:val="fr-FR"/>
        </w:rPr>
        <w:t>eau et de nourriture ; le froid et la difficulté de trouver un peu de détente dans le sommeil ; l</w:t>
      </w:r>
      <w:r w:rsidR="007F3E67" w:rsidRPr="007F3E67">
        <w:rPr>
          <w:szCs w:val="24"/>
          <w:lang w:val="fr-FR"/>
        </w:rPr>
        <w:t>’</w:t>
      </w:r>
      <w:r w:rsidRPr="007F3E67">
        <w:rPr>
          <w:szCs w:val="24"/>
          <w:lang w:val="fr-FR"/>
        </w:rPr>
        <w:t>absence de tout contact avec l</w:t>
      </w:r>
      <w:r w:rsidR="007F3E67" w:rsidRPr="007F3E67">
        <w:rPr>
          <w:szCs w:val="24"/>
          <w:lang w:val="fr-FR"/>
        </w:rPr>
        <w:t>’</w:t>
      </w:r>
      <w:r w:rsidRPr="007F3E67">
        <w:rPr>
          <w:szCs w:val="24"/>
          <w:lang w:val="fr-FR"/>
        </w:rPr>
        <w:t xml:space="preserve">extérieur, et la mention mensongère par les agents de la renonciation </w:t>
      </w:r>
      <w:r w:rsidR="002D0889" w:rsidRPr="007F3E67">
        <w:rPr>
          <w:szCs w:val="24"/>
          <w:lang w:val="fr-FR"/>
        </w:rPr>
        <w:t xml:space="preserve">des personnes arrêtées </w:t>
      </w:r>
      <w:r w:rsidRPr="007F3E67">
        <w:rPr>
          <w:szCs w:val="24"/>
          <w:lang w:val="fr-FR"/>
        </w:rPr>
        <w:t xml:space="preserve">au droit de prévenir un membre de leur famille, un avocat et, le cas échéant, un diplomate </w:t>
      </w:r>
      <w:r w:rsidR="002D0889" w:rsidRPr="007F3E67">
        <w:rPr>
          <w:szCs w:val="24"/>
          <w:lang w:val="fr-FR"/>
        </w:rPr>
        <w:t xml:space="preserve">de leur </w:t>
      </w:r>
      <w:r w:rsidRPr="007F3E67">
        <w:rPr>
          <w:szCs w:val="24"/>
          <w:lang w:val="fr-FR"/>
        </w:rPr>
        <w:t>pays d</w:t>
      </w:r>
      <w:r w:rsidR="007F3E67" w:rsidRPr="007F3E67">
        <w:rPr>
          <w:szCs w:val="24"/>
          <w:lang w:val="fr-FR"/>
        </w:rPr>
        <w:t>’</w:t>
      </w:r>
      <w:r w:rsidRPr="007F3E67">
        <w:rPr>
          <w:szCs w:val="24"/>
          <w:lang w:val="fr-FR"/>
        </w:rPr>
        <w:t>origine ; enfin, l</w:t>
      </w:r>
      <w:r w:rsidR="007F3E67" w:rsidRPr="007F3E67">
        <w:rPr>
          <w:szCs w:val="24"/>
          <w:lang w:val="fr-FR"/>
        </w:rPr>
        <w:t>’</w:t>
      </w:r>
      <w:r w:rsidRPr="007F3E67">
        <w:rPr>
          <w:szCs w:val="24"/>
          <w:lang w:val="fr-FR"/>
        </w:rPr>
        <w:t>absence d</w:t>
      </w:r>
      <w:r w:rsidR="007F3E67" w:rsidRPr="007F3E67">
        <w:rPr>
          <w:szCs w:val="24"/>
          <w:lang w:val="fr-FR"/>
        </w:rPr>
        <w:t>’</w:t>
      </w:r>
      <w:r w:rsidRPr="007F3E67">
        <w:rPr>
          <w:szCs w:val="24"/>
          <w:lang w:val="fr-FR"/>
        </w:rPr>
        <w:t>informations pleinement intelligibles sur les raisons de l</w:t>
      </w:r>
      <w:r w:rsidR="007F3E67" w:rsidRPr="007F3E67">
        <w:rPr>
          <w:szCs w:val="24"/>
          <w:lang w:val="fr-FR"/>
        </w:rPr>
        <w:t>’</w:t>
      </w:r>
      <w:r w:rsidRPr="007F3E67">
        <w:rPr>
          <w:szCs w:val="24"/>
          <w:lang w:val="fr-FR"/>
        </w:rPr>
        <w:t>arrestation</w:t>
      </w:r>
      <w:r w:rsidR="002D0889" w:rsidRPr="007F3E67">
        <w:rPr>
          <w:szCs w:val="24"/>
          <w:lang w:val="fr-FR"/>
        </w:rPr>
        <w:t xml:space="preserve"> des personnes concernées</w:t>
      </w:r>
      <w:r w:rsidRPr="007F3E67">
        <w:rPr>
          <w:szCs w:val="24"/>
          <w:lang w:val="fr-FR"/>
        </w:rPr>
        <w:t>.</w:t>
      </w:r>
    </w:p>
    <w:p w:rsidR="00E235F1" w:rsidRPr="007F3E67" w:rsidRDefault="00E235F1" w:rsidP="007F3E67">
      <w:pPr>
        <w:pStyle w:val="ECHRPara"/>
        <w:rPr>
          <w:lang w:val="fr-FR"/>
        </w:rPr>
      </w:pPr>
      <w:r w:rsidRPr="007F3E67">
        <w:rPr>
          <w:szCs w:val="24"/>
          <w:lang w:val="fr-FR"/>
        </w:rPr>
        <w:fldChar w:fldCharType="begin"/>
      </w:r>
      <w:r w:rsidRPr="007F3E67">
        <w:rPr>
          <w:szCs w:val="24"/>
          <w:lang w:val="fr-FR"/>
        </w:rPr>
        <w:instrText xml:space="preserve"> SEQ level0 \*arabic </w:instrText>
      </w:r>
      <w:r w:rsidRPr="007F3E67">
        <w:rPr>
          <w:szCs w:val="24"/>
          <w:lang w:val="fr-FR"/>
        </w:rPr>
        <w:fldChar w:fldCharType="separate"/>
      </w:r>
      <w:r w:rsidR="007F3E67" w:rsidRPr="007F3E67">
        <w:rPr>
          <w:noProof/>
          <w:szCs w:val="24"/>
          <w:lang w:val="fr-FR"/>
        </w:rPr>
        <w:t>66</w:t>
      </w:r>
      <w:r w:rsidRPr="007F3E67">
        <w:rPr>
          <w:szCs w:val="24"/>
          <w:lang w:val="fr-FR"/>
        </w:rPr>
        <w:fldChar w:fldCharType="end"/>
      </w:r>
      <w:r w:rsidRPr="007F3E67">
        <w:rPr>
          <w:szCs w:val="24"/>
          <w:lang w:val="fr-FR"/>
        </w:rPr>
        <w:t>.  En somme, d</w:t>
      </w:r>
      <w:r w:rsidR="007F3E67" w:rsidRPr="007F3E67">
        <w:rPr>
          <w:szCs w:val="24"/>
          <w:lang w:val="fr-FR"/>
        </w:rPr>
        <w:t>’</w:t>
      </w:r>
      <w:r w:rsidRPr="007F3E67">
        <w:rPr>
          <w:szCs w:val="24"/>
          <w:lang w:val="fr-FR"/>
        </w:rPr>
        <w:t>après la cour d</w:t>
      </w:r>
      <w:r w:rsidR="007F3E67" w:rsidRPr="007F3E67">
        <w:rPr>
          <w:szCs w:val="24"/>
          <w:lang w:val="fr-FR"/>
        </w:rPr>
        <w:t>’</w:t>
      </w:r>
      <w:r w:rsidRPr="007F3E67">
        <w:rPr>
          <w:szCs w:val="24"/>
          <w:lang w:val="fr-FR"/>
        </w:rPr>
        <w:t>appel, ces personnes avaient été soumises à plusieurs traitements contraires à l</w:t>
      </w:r>
      <w:r w:rsidR="007F3E67" w:rsidRPr="007F3E67">
        <w:rPr>
          <w:szCs w:val="24"/>
          <w:lang w:val="fr-FR"/>
        </w:rPr>
        <w:t>’</w:t>
      </w:r>
      <w:r w:rsidRPr="007F3E67">
        <w:rPr>
          <w:szCs w:val="24"/>
          <w:lang w:val="fr-FR"/>
        </w:rPr>
        <w:t>article 3 de la Convention tel qu</w:t>
      </w:r>
      <w:r w:rsidR="007F3E67" w:rsidRPr="007F3E67">
        <w:rPr>
          <w:szCs w:val="24"/>
          <w:lang w:val="fr-FR"/>
        </w:rPr>
        <w:t>’</w:t>
      </w:r>
      <w:r w:rsidRPr="007F3E67">
        <w:rPr>
          <w:szCs w:val="24"/>
          <w:lang w:val="fr-FR"/>
        </w:rPr>
        <w:t>interprété par la Cour européenne des droits de l</w:t>
      </w:r>
      <w:r w:rsidR="007F3E67" w:rsidRPr="007F3E67">
        <w:rPr>
          <w:szCs w:val="24"/>
          <w:lang w:val="fr-FR"/>
        </w:rPr>
        <w:t>’</w:t>
      </w:r>
      <w:r w:rsidRPr="007F3E67">
        <w:rPr>
          <w:szCs w:val="24"/>
          <w:lang w:val="fr-FR"/>
        </w:rPr>
        <w:t xml:space="preserve">homme dans ses arrêts </w:t>
      </w:r>
      <w:r w:rsidRPr="007F3E67">
        <w:rPr>
          <w:i/>
          <w:lang w:val="fr-FR"/>
        </w:rPr>
        <w:t>Irlande c. Royaume-Uni</w:t>
      </w:r>
      <w:r w:rsidRPr="007F3E67">
        <w:rPr>
          <w:lang w:val="fr-FR"/>
        </w:rPr>
        <w:t xml:space="preserve"> (18 janvier 1978, série A n</w:t>
      </w:r>
      <w:r w:rsidRPr="007F3E67">
        <w:rPr>
          <w:vertAlign w:val="superscript"/>
          <w:lang w:val="fr-FR"/>
        </w:rPr>
        <w:t>o</w:t>
      </w:r>
      <w:r w:rsidRPr="007F3E67">
        <w:rPr>
          <w:lang w:val="fr-FR"/>
        </w:rPr>
        <w:t xml:space="preserve"> 25), </w:t>
      </w:r>
      <w:r w:rsidRPr="007F3E67">
        <w:rPr>
          <w:i/>
          <w:lang w:val="fr-FR"/>
        </w:rPr>
        <w:t>Raninen c. Finlande</w:t>
      </w:r>
      <w:r w:rsidRPr="007F3E67">
        <w:rPr>
          <w:lang w:val="fr-FR"/>
        </w:rPr>
        <w:t xml:space="preserve"> (16 décembre 1997, </w:t>
      </w:r>
      <w:r w:rsidRPr="007F3E67">
        <w:rPr>
          <w:i/>
          <w:lang w:val="fr-FR"/>
        </w:rPr>
        <w:t>Recueil des arrêts et décisions</w:t>
      </w:r>
      <w:r w:rsidRPr="007F3E67">
        <w:rPr>
          <w:lang w:val="fr-FR"/>
        </w:rPr>
        <w:t xml:space="preserve"> 1997</w:t>
      </w:r>
      <w:r w:rsidRPr="007F3E67">
        <w:rPr>
          <w:lang w:val="fr-FR"/>
        </w:rPr>
        <w:noBreakHyphen/>
        <w:t>VIII)</w:t>
      </w:r>
      <w:r w:rsidR="00FA1C14" w:rsidRPr="007F3E67">
        <w:rPr>
          <w:lang w:val="fr-FR"/>
        </w:rPr>
        <w:t>,</w:t>
      </w:r>
      <w:r w:rsidRPr="007F3E67">
        <w:rPr>
          <w:lang w:val="fr-FR"/>
        </w:rPr>
        <w:t xml:space="preserve"> et </w:t>
      </w:r>
      <w:r w:rsidRPr="007F3E67">
        <w:rPr>
          <w:i/>
          <w:lang w:val="fr-FR"/>
        </w:rPr>
        <w:t xml:space="preserve">Selmouni c. France </w:t>
      </w:r>
      <w:r w:rsidRPr="007F3E67">
        <w:rPr>
          <w:lang w:val="fr-FR"/>
        </w:rPr>
        <w:t>([GC], n</w:t>
      </w:r>
      <w:r w:rsidRPr="007F3E67">
        <w:rPr>
          <w:vertAlign w:val="superscript"/>
          <w:lang w:val="fr-FR"/>
        </w:rPr>
        <w:t>o</w:t>
      </w:r>
      <w:r w:rsidRPr="007F3E67">
        <w:rPr>
          <w:lang w:val="fr-FR"/>
        </w:rPr>
        <w:t xml:space="preserve"> 25803/94, CEDH 1999</w:t>
      </w:r>
      <w:r w:rsidRPr="007F3E67">
        <w:rPr>
          <w:lang w:val="fr-FR"/>
        </w:rPr>
        <w:noBreakHyphen/>
        <w:t xml:space="preserve">V). </w:t>
      </w:r>
      <w:r w:rsidR="00414BCD" w:rsidRPr="007F3E67">
        <w:rPr>
          <w:lang w:val="fr-FR"/>
        </w:rPr>
        <w:t>Pour la cour d</w:t>
      </w:r>
      <w:r w:rsidR="007F3E67" w:rsidRPr="007F3E67">
        <w:rPr>
          <w:lang w:val="fr-FR"/>
        </w:rPr>
        <w:t>’</w:t>
      </w:r>
      <w:r w:rsidR="00414BCD" w:rsidRPr="007F3E67">
        <w:rPr>
          <w:lang w:val="fr-FR"/>
        </w:rPr>
        <w:t>appel, tous les agents et le personnel de santé qui se trouvaient à la caserne avaient été à même de s</w:t>
      </w:r>
      <w:r w:rsidR="007F3E67" w:rsidRPr="007F3E67">
        <w:rPr>
          <w:lang w:val="fr-FR"/>
        </w:rPr>
        <w:t>’</w:t>
      </w:r>
      <w:r w:rsidR="00414BCD" w:rsidRPr="007F3E67">
        <w:rPr>
          <w:lang w:val="fr-FR"/>
        </w:rPr>
        <w:t>apercevoir que de tels traitements étaient infligés, ce qui, à ses yeux, était suffisant en l</w:t>
      </w:r>
      <w:r w:rsidR="007F3E67" w:rsidRPr="007F3E67">
        <w:rPr>
          <w:lang w:val="fr-FR"/>
        </w:rPr>
        <w:t>’</w:t>
      </w:r>
      <w:r w:rsidR="00414BCD" w:rsidRPr="007F3E67">
        <w:rPr>
          <w:lang w:val="fr-FR"/>
        </w:rPr>
        <w:t>espèce pour constituer le délit d</w:t>
      </w:r>
      <w:r w:rsidR="007F3E67" w:rsidRPr="007F3E67">
        <w:rPr>
          <w:lang w:val="fr-FR"/>
        </w:rPr>
        <w:t>’</w:t>
      </w:r>
      <w:r w:rsidR="00414BCD" w:rsidRPr="007F3E67">
        <w:rPr>
          <w:lang w:val="fr-FR"/>
        </w:rPr>
        <w:t>abus d</w:t>
      </w:r>
      <w:r w:rsidR="007F3E67" w:rsidRPr="007F3E67">
        <w:rPr>
          <w:lang w:val="fr-FR"/>
        </w:rPr>
        <w:t>’</w:t>
      </w:r>
      <w:r w:rsidR="00414BCD" w:rsidRPr="007F3E67">
        <w:rPr>
          <w:lang w:val="fr-FR"/>
        </w:rPr>
        <w:t>autorité publique.</w:t>
      </w:r>
    </w:p>
    <w:bookmarkStart w:id="9" w:name="FINALITE_MAUVAIS_TRAITEMENTS"/>
    <w:p w:rsidR="00E235F1" w:rsidRPr="007F3E67" w:rsidRDefault="00E235F1" w:rsidP="007F3E67">
      <w:pPr>
        <w:pStyle w:val="ECHRPara"/>
        <w:rPr>
          <w:szCs w:val="24"/>
          <w:lang w:val="fr-FR"/>
        </w:rPr>
      </w:pPr>
      <w:r w:rsidRPr="007F3E67">
        <w:rPr>
          <w:lang w:val="fr-FR"/>
        </w:rPr>
        <w:fldChar w:fldCharType="begin"/>
      </w:r>
      <w:r w:rsidRPr="007F3E67">
        <w:rPr>
          <w:lang w:val="fr-FR"/>
        </w:rPr>
        <w:instrText xml:space="preserve"> SEQ level0 \*arabic </w:instrText>
      </w:r>
      <w:r w:rsidRPr="007F3E67">
        <w:rPr>
          <w:lang w:val="fr-FR"/>
        </w:rPr>
        <w:fldChar w:fldCharType="separate"/>
      </w:r>
      <w:r w:rsidR="007F3E67" w:rsidRPr="007F3E67">
        <w:rPr>
          <w:noProof/>
          <w:lang w:val="fr-FR"/>
        </w:rPr>
        <w:t>67</w:t>
      </w:r>
      <w:r w:rsidRPr="007F3E67">
        <w:rPr>
          <w:lang w:val="fr-FR"/>
        </w:rPr>
        <w:fldChar w:fldCharType="end"/>
      </w:r>
      <w:bookmarkEnd w:id="9"/>
      <w:r w:rsidRPr="007F3E67">
        <w:rPr>
          <w:lang w:val="fr-FR"/>
        </w:rPr>
        <w:t>.  En outre, la cour d</w:t>
      </w:r>
      <w:r w:rsidR="007F3E67" w:rsidRPr="007F3E67">
        <w:rPr>
          <w:lang w:val="fr-FR"/>
        </w:rPr>
        <w:t>’</w:t>
      </w:r>
      <w:r w:rsidRPr="007F3E67">
        <w:rPr>
          <w:lang w:val="fr-FR"/>
        </w:rPr>
        <w:t xml:space="preserve">appel estima que ces traitements, combinés avec la négation de certains droits de la personne arrêtée, avaient pour but de donner aux victimes </w:t>
      </w:r>
      <w:r w:rsidRPr="007F3E67">
        <w:rPr>
          <w:szCs w:val="24"/>
          <w:lang w:val="fr-FR"/>
        </w:rPr>
        <w:t>le sentiment d</w:t>
      </w:r>
      <w:r w:rsidR="007F3E67" w:rsidRPr="007F3E67">
        <w:rPr>
          <w:szCs w:val="24"/>
          <w:lang w:val="fr-FR"/>
        </w:rPr>
        <w:t>’</w:t>
      </w:r>
      <w:r w:rsidRPr="007F3E67">
        <w:rPr>
          <w:szCs w:val="24"/>
          <w:lang w:val="fr-FR"/>
        </w:rPr>
        <w:t>être tombées dans un espace de négation de l</w:t>
      </w:r>
      <w:r w:rsidR="007F3E67" w:rsidRPr="007F3E67">
        <w:rPr>
          <w:szCs w:val="24"/>
          <w:lang w:val="fr-FR"/>
        </w:rPr>
        <w:t>’</w:t>
      </w:r>
      <w:r w:rsidRPr="007F3E67">
        <w:rPr>
          <w:i/>
          <w:szCs w:val="24"/>
          <w:lang w:val="fr-FR"/>
        </w:rPr>
        <w:t>habeas corpus</w:t>
      </w:r>
      <w:r w:rsidRPr="007F3E67">
        <w:rPr>
          <w:szCs w:val="24"/>
          <w:lang w:val="fr-FR"/>
        </w:rPr>
        <w:t>, des droits fondamentaux et de tout autre aspect de la prééminence du droit, ce que, au demeurant, confirmaient selon elle les diverses formes d</w:t>
      </w:r>
      <w:r w:rsidR="007F3E67" w:rsidRPr="007F3E67">
        <w:rPr>
          <w:szCs w:val="24"/>
          <w:lang w:val="fr-FR"/>
        </w:rPr>
        <w:t>’</w:t>
      </w:r>
      <w:r w:rsidRPr="007F3E67">
        <w:rPr>
          <w:szCs w:val="24"/>
          <w:lang w:val="fr-FR"/>
        </w:rPr>
        <w:t xml:space="preserve">évocation du fascisme </w:t>
      </w:r>
      <w:r w:rsidR="00FA1C14" w:rsidRPr="007F3E67">
        <w:rPr>
          <w:szCs w:val="24"/>
          <w:lang w:val="fr-FR"/>
        </w:rPr>
        <w:t>faites</w:t>
      </w:r>
      <w:r w:rsidRPr="007F3E67">
        <w:rPr>
          <w:szCs w:val="24"/>
          <w:lang w:val="fr-FR"/>
        </w:rPr>
        <w:t xml:space="preserve"> par les agents. </w:t>
      </w:r>
      <w:r w:rsidRPr="007F3E67">
        <w:rPr>
          <w:lang w:val="fr-FR"/>
        </w:rPr>
        <w:t>En d</w:t>
      </w:r>
      <w:r w:rsidR="007F3E67" w:rsidRPr="007F3E67">
        <w:rPr>
          <w:lang w:val="fr-FR"/>
        </w:rPr>
        <w:t>’</w:t>
      </w:r>
      <w:r w:rsidRPr="007F3E67">
        <w:rPr>
          <w:lang w:val="fr-FR"/>
        </w:rPr>
        <w:t xml:space="preserve">autres termes, en infligeant torture et mauvais traitements, les auteurs de ces sévices </w:t>
      </w:r>
      <w:r w:rsidR="00414BCD" w:rsidRPr="007F3E67">
        <w:rPr>
          <w:lang w:val="fr-FR"/>
        </w:rPr>
        <w:t xml:space="preserve">avaient voulu </w:t>
      </w:r>
      <w:r w:rsidRPr="007F3E67">
        <w:rPr>
          <w:lang w:val="fr-FR"/>
        </w:rPr>
        <w:t xml:space="preserve">produire un processus de dépersonnalisation similaire à celui </w:t>
      </w:r>
      <w:r w:rsidR="002B7B6A" w:rsidRPr="007F3E67">
        <w:rPr>
          <w:lang w:val="fr-FR"/>
        </w:rPr>
        <w:t>mis en œuvre à l</w:t>
      </w:r>
      <w:r w:rsidR="007F3E67" w:rsidRPr="007F3E67">
        <w:rPr>
          <w:lang w:val="fr-FR"/>
        </w:rPr>
        <w:t>’</w:t>
      </w:r>
      <w:r w:rsidR="002B7B6A" w:rsidRPr="007F3E67">
        <w:rPr>
          <w:lang w:val="fr-FR"/>
        </w:rPr>
        <w:t>encontre d</w:t>
      </w:r>
      <w:r w:rsidRPr="007F3E67">
        <w:rPr>
          <w:lang w:val="fr-FR"/>
        </w:rPr>
        <w:t xml:space="preserve">es </w:t>
      </w:r>
      <w:r w:rsidR="002B7B6A" w:rsidRPr="007F3E67">
        <w:rPr>
          <w:lang w:val="fr-FR"/>
        </w:rPr>
        <w:t>juifs et d</w:t>
      </w:r>
      <w:r w:rsidRPr="007F3E67">
        <w:rPr>
          <w:lang w:val="fr-FR"/>
        </w:rPr>
        <w:t>es autres personnes internés dans les camps de concentration</w:t>
      </w:r>
      <w:r w:rsidRPr="007F3E67">
        <w:rPr>
          <w:szCs w:val="24"/>
          <w:lang w:val="fr-FR"/>
        </w:rPr>
        <w:t>. Ainsi, à l</w:t>
      </w:r>
      <w:r w:rsidR="007F3E67" w:rsidRPr="007F3E67">
        <w:rPr>
          <w:szCs w:val="24"/>
          <w:lang w:val="fr-FR"/>
        </w:rPr>
        <w:t>’</w:t>
      </w:r>
      <w:r w:rsidRPr="007F3E67">
        <w:rPr>
          <w:szCs w:val="24"/>
          <w:lang w:val="fr-FR"/>
        </w:rPr>
        <w:t>instar d</w:t>
      </w:r>
      <w:r w:rsidR="007F3E67" w:rsidRPr="007F3E67">
        <w:rPr>
          <w:szCs w:val="24"/>
          <w:lang w:val="fr-FR"/>
        </w:rPr>
        <w:t>’</w:t>
      </w:r>
      <w:r w:rsidRPr="007F3E67">
        <w:rPr>
          <w:szCs w:val="24"/>
          <w:lang w:val="fr-FR"/>
        </w:rPr>
        <w:t>objets ou d</w:t>
      </w:r>
      <w:r w:rsidR="007F3E67" w:rsidRPr="007F3E67">
        <w:rPr>
          <w:szCs w:val="24"/>
          <w:lang w:val="fr-FR"/>
        </w:rPr>
        <w:t>’</w:t>
      </w:r>
      <w:r w:rsidRPr="007F3E67">
        <w:rPr>
          <w:szCs w:val="24"/>
          <w:lang w:val="fr-FR"/>
        </w:rPr>
        <w:t>animaux, les personnes arrêtées dans l</w:t>
      </w:r>
      <w:r w:rsidR="007F3E67" w:rsidRPr="007F3E67">
        <w:rPr>
          <w:szCs w:val="24"/>
          <w:lang w:val="fr-FR"/>
        </w:rPr>
        <w:t>’</w:t>
      </w:r>
      <w:r w:rsidRPr="007F3E67">
        <w:rPr>
          <w:szCs w:val="24"/>
          <w:lang w:val="fr-FR"/>
        </w:rPr>
        <w:t>école Diaz-Pertini a</w:t>
      </w:r>
      <w:r w:rsidR="00414BCD" w:rsidRPr="007F3E67">
        <w:rPr>
          <w:szCs w:val="24"/>
          <w:lang w:val="fr-FR"/>
        </w:rPr>
        <w:t>uraient</w:t>
      </w:r>
      <w:r w:rsidRPr="007F3E67">
        <w:rPr>
          <w:szCs w:val="24"/>
          <w:lang w:val="fr-FR"/>
        </w:rPr>
        <w:t xml:space="preserve"> été, à leur arrivée à la caserne, marquées au feutre sur le visage.</w:t>
      </w:r>
    </w:p>
    <w:p w:rsidR="0074516B" w:rsidRPr="007F3E67" w:rsidRDefault="00E235F1" w:rsidP="007F3E67">
      <w:pPr>
        <w:pStyle w:val="ECHRPara"/>
        <w:rPr>
          <w:szCs w:val="24"/>
          <w:lang w:val="fr-FR"/>
        </w:rPr>
      </w:pPr>
      <w:r w:rsidRPr="007F3E67">
        <w:rPr>
          <w:szCs w:val="24"/>
          <w:lang w:val="fr-FR"/>
        </w:rPr>
        <w:fldChar w:fldCharType="begin"/>
      </w:r>
      <w:r w:rsidRPr="007F3E67">
        <w:rPr>
          <w:szCs w:val="24"/>
          <w:lang w:val="fr-FR"/>
        </w:rPr>
        <w:instrText xml:space="preserve"> SEQ level0 \*arabic </w:instrText>
      </w:r>
      <w:r w:rsidRPr="007F3E67">
        <w:rPr>
          <w:szCs w:val="24"/>
          <w:lang w:val="fr-FR"/>
        </w:rPr>
        <w:fldChar w:fldCharType="separate"/>
      </w:r>
      <w:r w:rsidR="007F3E67" w:rsidRPr="007F3E67">
        <w:rPr>
          <w:noProof/>
          <w:szCs w:val="24"/>
          <w:lang w:val="fr-FR"/>
        </w:rPr>
        <w:t>68</w:t>
      </w:r>
      <w:r w:rsidRPr="007F3E67">
        <w:rPr>
          <w:szCs w:val="24"/>
          <w:lang w:val="fr-FR"/>
        </w:rPr>
        <w:fldChar w:fldCharType="end"/>
      </w:r>
      <w:r w:rsidRPr="007F3E67">
        <w:rPr>
          <w:szCs w:val="24"/>
          <w:lang w:val="fr-FR"/>
        </w:rPr>
        <w:t>.  </w:t>
      </w:r>
      <w:r w:rsidR="00414BCD" w:rsidRPr="007F3E67">
        <w:rPr>
          <w:szCs w:val="24"/>
          <w:lang w:val="fr-FR"/>
        </w:rPr>
        <w:t>Enfin, selon la cour d</w:t>
      </w:r>
      <w:r w:rsidR="007F3E67" w:rsidRPr="007F3E67">
        <w:rPr>
          <w:szCs w:val="24"/>
          <w:lang w:val="fr-FR"/>
        </w:rPr>
        <w:t>’</w:t>
      </w:r>
      <w:r w:rsidR="00414BCD" w:rsidRPr="007F3E67">
        <w:rPr>
          <w:szCs w:val="24"/>
          <w:lang w:val="fr-FR"/>
        </w:rPr>
        <w:t xml:space="preserve">appel, ces événements avaient eu des conséquences très graves sur les victimes et perduraient dans leurs effets </w:t>
      </w:r>
      <w:r w:rsidR="00414BCD" w:rsidRPr="007F3E67">
        <w:rPr>
          <w:szCs w:val="24"/>
          <w:lang w:val="fr-FR"/>
        </w:rPr>
        <w:lastRenderedPageBreak/>
        <w:t>bien au-delà de la fin de la détention de celles-ci à la caserne de Bolzaneto, car ils avaient déstructuré les catégories rationnelles et émotionnelles au travers desquelles la personne humaine vit ses besoins quotidiens, ses relations aux autres, ses liens avec l</w:t>
      </w:r>
      <w:r w:rsidR="007F3E67" w:rsidRPr="007F3E67">
        <w:rPr>
          <w:szCs w:val="24"/>
          <w:lang w:val="fr-FR"/>
        </w:rPr>
        <w:t>’</w:t>
      </w:r>
      <w:r w:rsidR="00414BCD" w:rsidRPr="007F3E67">
        <w:rPr>
          <w:szCs w:val="24"/>
          <w:lang w:val="fr-FR"/>
        </w:rPr>
        <w:t>État et sa participation à la vie publique. Ils auraient également touché les familles des victimes en tant que communautés d</w:t>
      </w:r>
      <w:r w:rsidR="007F3E67" w:rsidRPr="007F3E67">
        <w:rPr>
          <w:szCs w:val="24"/>
          <w:lang w:val="fr-FR"/>
        </w:rPr>
        <w:t>’</w:t>
      </w:r>
      <w:r w:rsidR="00414BCD" w:rsidRPr="007F3E67">
        <w:rPr>
          <w:szCs w:val="24"/>
          <w:lang w:val="fr-FR"/>
        </w:rPr>
        <w:t>échange d</w:t>
      </w:r>
      <w:r w:rsidR="007F3E67" w:rsidRPr="007F3E67">
        <w:rPr>
          <w:szCs w:val="24"/>
          <w:lang w:val="fr-FR"/>
        </w:rPr>
        <w:t>’</w:t>
      </w:r>
      <w:r w:rsidR="00414BCD" w:rsidRPr="007F3E67">
        <w:rPr>
          <w:szCs w:val="24"/>
          <w:lang w:val="fr-FR"/>
        </w:rPr>
        <w:t>expériences et de valeurs.</w:t>
      </w:r>
    </w:p>
    <w:p w:rsidR="0074516B" w:rsidRPr="007F3E67" w:rsidRDefault="00681EA4" w:rsidP="007F3E67">
      <w:pPr>
        <w:pStyle w:val="ECHRHeading3"/>
        <w:rPr>
          <w:lang w:val="fr-FR"/>
        </w:rPr>
      </w:pPr>
      <w:r w:rsidRPr="007F3E67">
        <w:rPr>
          <w:lang w:val="fr-FR"/>
        </w:rPr>
        <w:t>3.  </w:t>
      </w:r>
      <w:r w:rsidR="0074516B" w:rsidRPr="007F3E67">
        <w:rPr>
          <w:lang w:val="fr-FR"/>
        </w:rPr>
        <w:t>L</w:t>
      </w:r>
      <w:r w:rsidR="007F3E67" w:rsidRPr="007F3E67">
        <w:rPr>
          <w:lang w:val="fr-FR"/>
        </w:rPr>
        <w:t>’</w:t>
      </w:r>
      <w:r w:rsidR="0074516B" w:rsidRPr="007F3E67">
        <w:rPr>
          <w:lang w:val="fr-FR"/>
        </w:rPr>
        <w:t>arrêt de la Cour de cassation</w:t>
      </w:r>
    </w:p>
    <w:bookmarkStart w:id="10" w:name="Cour_Cassation"/>
    <w:p w:rsidR="0074516B" w:rsidRPr="007F3E67" w:rsidRDefault="0074516B" w:rsidP="007F3E67">
      <w:pPr>
        <w:pStyle w:val="ECHRPara"/>
        <w:rPr>
          <w:szCs w:val="24"/>
          <w:lang w:val="fr-FR"/>
        </w:rPr>
      </w:pPr>
      <w:r w:rsidRPr="007F3E67">
        <w:rPr>
          <w:lang w:val="fr-FR"/>
        </w:rPr>
        <w:fldChar w:fldCharType="begin"/>
      </w:r>
      <w:r w:rsidRPr="007F3E67">
        <w:rPr>
          <w:lang w:val="fr-FR"/>
        </w:rPr>
        <w:instrText xml:space="preserve"> SEQ level0 \*arabic </w:instrText>
      </w:r>
      <w:r w:rsidRPr="007F3E67">
        <w:rPr>
          <w:lang w:val="fr-FR"/>
        </w:rPr>
        <w:fldChar w:fldCharType="separate"/>
      </w:r>
      <w:r w:rsidR="007F3E67" w:rsidRPr="007F3E67">
        <w:rPr>
          <w:noProof/>
          <w:lang w:val="fr-FR"/>
        </w:rPr>
        <w:t>69</w:t>
      </w:r>
      <w:r w:rsidRPr="007F3E67">
        <w:rPr>
          <w:lang w:val="fr-FR"/>
        </w:rPr>
        <w:fldChar w:fldCharType="end"/>
      </w:r>
      <w:bookmarkEnd w:id="10"/>
      <w:r w:rsidRPr="007F3E67">
        <w:rPr>
          <w:lang w:val="fr-FR"/>
        </w:rPr>
        <w:t>.  Saisie par les accusés, le procureur général, les minist</w:t>
      </w:r>
      <w:r w:rsidR="007E3A0F" w:rsidRPr="007F3E67">
        <w:rPr>
          <w:lang w:val="fr-FR"/>
        </w:rPr>
        <w:t>è</w:t>
      </w:r>
      <w:r w:rsidRPr="007F3E67">
        <w:rPr>
          <w:lang w:val="fr-FR"/>
        </w:rPr>
        <w:t>res de l</w:t>
      </w:r>
      <w:r w:rsidR="007F3E67" w:rsidRPr="007F3E67">
        <w:rPr>
          <w:lang w:val="fr-FR"/>
        </w:rPr>
        <w:t>’</w:t>
      </w:r>
      <w:r w:rsidRPr="007F3E67">
        <w:rPr>
          <w:lang w:val="fr-FR"/>
        </w:rPr>
        <w:t xml:space="preserve">Intérieur, de la Justice et de la Défense (responsables civils), </w:t>
      </w:r>
      <w:r w:rsidR="00E8331B" w:rsidRPr="007F3E67">
        <w:rPr>
          <w:szCs w:val="24"/>
          <w:lang w:val="fr-FR"/>
        </w:rPr>
        <w:t>l</w:t>
      </w:r>
      <w:r w:rsidRPr="007F3E67">
        <w:rPr>
          <w:szCs w:val="24"/>
          <w:lang w:val="fr-FR"/>
        </w:rPr>
        <w:t xml:space="preserve">a Cour de cassation </w:t>
      </w:r>
      <w:r w:rsidR="00E8437F" w:rsidRPr="007F3E67">
        <w:rPr>
          <w:szCs w:val="24"/>
          <w:lang w:val="fr-FR"/>
        </w:rPr>
        <w:t>rendit</w:t>
      </w:r>
      <w:r w:rsidRPr="007F3E67">
        <w:rPr>
          <w:szCs w:val="24"/>
          <w:lang w:val="fr-FR"/>
        </w:rPr>
        <w:t xml:space="preserve"> </w:t>
      </w:r>
      <w:r w:rsidRPr="007F3E67">
        <w:rPr>
          <w:lang w:val="fr-FR"/>
        </w:rPr>
        <w:t xml:space="preserve">son </w:t>
      </w:r>
      <w:r w:rsidRPr="007F3E67">
        <w:rPr>
          <w:szCs w:val="24"/>
          <w:lang w:val="fr-FR"/>
        </w:rPr>
        <w:t>arrêt n</w:t>
      </w:r>
      <w:r w:rsidRPr="007F3E67">
        <w:rPr>
          <w:szCs w:val="24"/>
          <w:vertAlign w:val="superscript"/>
          <w:lang w:val="fr-FR"/>
        </w:rPr>
        <w:t>o </w:t>
      </w:r>
      <w:r w:rsidR="002B7B6A" w:rsidRPr="007F3E67">
        <w:rPr>
          <w:szCs w:val="24"/>
          <w:lang w:val="fr-FR"/>
        </w:rPr>
        <w:t>37088</w:t>
      </w:r>
      <w:r w:rsidR="007E3A0F" w:rsidRPr="007F3E67">
        <w:rPr>
          <w:szCs w:val="24"/>
          <w:lang w:val="fr-FR"/>
        </w:rPr>
        <w:t xml:space="preserve"> </w:t>
      </w:r>
      <w:r w:rsidR="0049267E" w:rsidRPr="007F3E67">
        <w:rPr>
          <w:szCs w:val="24"/>
          <w:lang w:val="fr-FR"/>
        </w:rPr>
        <w:t xml:space="preserve">le 14 juin 2013. Celui-ci fut </w:t>
      </w:r>
      <w:r w:rsidRPr="007F3E67">
        <w:rPr>
          <w:szCs w:val="24"/>
          <w:lang w:val="fr-FR"/>
        </w:rPr>
        <w:t>déposé le 10</w:t>
      </w:r>
      <w:r w:rsidR="009206B2" w:rsidRPr="007F3E67">
        <w:rPr>
          <w:szCs w:val="24"/>
          <w:lang w:val="fr-FR"/>
        </w:rPr>
        <w:t> </w:t>
      </w:r>
      <w:r w:rsidRPr="007F3E67">
        <w:rPr>
          <w:szCs w:val="24"/>
          <w:lang w:val="fr-FR"/>
        </w:rPr>
        <w:t>septembre 2013.</w:t>
      </w:r>
      <w:r w:rsidR="00E8437F" w:rsidRPr="007F3E67">
        <w:rPr>
          <w:szCs w:val="24"/>
          <w:lang w:val="fr-FR"/>
        </w:rPr>
        <w:t xml:space="preserve"> </w:t>
      </w:r>
      <w:r w:rsidR="00E91C2B" w:rsidRPr="007F3E67">
        <w:rPr>
          <w:szCs w:val="24"/>
          <w:lang w:val="fr-FR"/>
        </w:rPr>
        <w:t xml:space="preserve">La Cour de cassation </w:t>
      </w:r>
      <w:r w:rsidR="00E8437F" w:rsidRPr="007F3E67">
        <w:rPr>
          <w:szCs w:val="24"/>
          <w:lang w:val="fr-FR"/>
        </w:rPr>
        <w:t>confirma pour l</w:t>
      </w:r>
      <w:r w:rsidR="007F3E67" w:rsidRPr="007F3E67">
        <w:rPr>
          <w:szCs w:val="24"/>
          <w:lang w:val="fr-FR"/>
        </w:rPr>
        <w:t>’</w:t>
      </w:r>
      <w:r w:rsidR="00E8437F" w:rsidRPr="007F3E67">
        <w:rPr>
          <w:szCs w:val="24"/>
          <w:lang w:val="fr-FR"/>
        </w:rPr>
        <w:t>essentiel l</w:t>
      </w:r>
      <w:r w:rsidR="007F3E67" w:rsidRPr="007F3E67">
        <w:rPr>
          <w:szCs w:val="24"/>
          <w:lang w:val="fr-FR"/>
        </w:rPr>
        <w:t>’</w:t>
      </w:r>
      <w:r w:rsidR="00E8437F" w:rsidRPr="007F3E67">
        <w:rPr>
          <w:szCs w:val="24"/>
          <w:lang w:val="fr-FR"/>
        </w:rPr>
        <w:t>arrêt entrepris.</w:t>
      </w:r>
    </w:p>
    <w:bookmarkStart w:id="11" w:name="PRESCRIPTION_CASSATION"/>
    <w:p w:rsidR="002C56B9" w:rsidRPr="007F3E67" w:rsidRDefault="00B9003E" w:rsidP="007F3E67">
      <w:pPr>
        <w:pStyle w:val="ECHRPara"/>
        <w:rPr>
          <w:lang w:val="fr-FR"/>
        </w:rPr>
      </w:pPr>
      <w:r w:rsidRPr="007F3E67">
        <w:rPr>
          <w:lang w:val="fr-FR"/>
        </w:rPr>
        <w:fldChar w:fldCharType="begin"/>
      </w:r>
      <w:r w:rsidRPr="007F3E67">
        <w:rPr>
          <w:lang w:val="fr-FR"/>
        </w:rPr>
        <w:instrText xml:space="preserve"> SEQ level0 \*arabic </w:instrText>
      </w:r>
      <w:r w:rsidRPr="007F3E67">
        <w:rPr>
          <w:lang w:val="fr-FR"/>
        </w:rPr>
        <w:fldChar w:fldCharType="separate"/>
      </w:r>
      <w:r w:rsidR="007F3E67" w:rsidRPr="007F3E67">
        <w:rPr>
          <w:noProof/>
          <w:lang w:val="fr-FR"/>
        </w:rPr>
        <w:t>70</w:t>
      </w:r>
      <w:r w:rsidRPr="007F3E67">
        <w:rPr>
          <w:lang w:val="fr-FR"/>
        </w:rPr>
        <w:fldChar w:fldCharType="end"/>
      </w:r>
      <w:bookmarkEnd w:id="11"/>
      <w:r w:rsidRPr="007F3E67">
        <w:rPr>
          <w:lang w:val="fr-FR"/>
        </w:rPr>
        <w:t>.  </w:t>
      </w:r>
      <w:r w:rsidR="00414BCD" w:rsidRPr="007F3E67">
        <w:rPr>
          <w:lang w:val="fr-FR"/>
        </w:rPr>
        <w:t>Tout d</w:t>
      </w:r>
      <w:r w:rsidR="007F3E67" w:rsidRPr="007F3E67">
        <w:rPr>
          <w:lang w:val="fr-FR"/>
        </w:rPr>
        <w:t>’</w:t>
      </w:r>
      <w:r w:rsidR="00414BCD" w:rsidRPr="007F3E67">
        <w:rPr>
          <w:lang w:val="fr-FR"/>
        </w:rPr>
        <w:t>abord, elle releva que, s</w:t>
      </w:r>
      <w:r w:rsidR="007F3E67" w:rsidRPr="007F3E67">
        <w:rPr>
          <w:lang w:val="fr-FR"/>
        </w:rPr>
        <w:t>’</w:t>
      </w:r>
      <w:r w:rsidR="00414BCD" w:rsidRPr="007F3E67">
        <w:rPr>
          <w:lang w:val="fr-FR"/>
        </w:rPr>
        <w:t>agissant de tous les délits retenus par le tribunal de première instance et la cour d</w:t>
      </w:r>
      <w:r w:rsidR="007F3E67" w:rsidRPr="007F3E67">
        <w:rPr>
          <w:lang w:val="fr-FR"/>
        </w:rPr>
        <w:t>’</w:t>
      </w:r>
      <w:r w:rsidR="00414BCD" w:rsidRPr="007F3E67">
        <w:rPr>
          <w:lang w:val="fr-FR"/>
        </w:rPr>
        <w:t>appel de Gênes, la quasi-totalité avait été touchée par la prescription, à laquelle toutefois trois officiers de police avaient renoncé, exception faite du délit de lésions corporelles retenu à l</w:t>
      </w:r>
      <w:r w:rsidR="007F3E67" w:rsidRPr="007F3E67">
        <w:rPr>
          <w:lang w:val="fr-FR"/>
        </w:rPr>
        <w:t>’</w:t>
      </w:r>
      <w:r w:rsidR="00414BCD" w:rsidRPr="007F3E67">
        <w:rPr>
          <w:lang w:val="fr-FR"/>
        </w:rPr>
        <w:t>encontre d</w:t>
      </w:r>
      <w:r w:rsidR="007F3E67" w:rsidRPr="007F3E67">
        <w:rPr>
          <w:lang w:val="fr-FR"/>
        </w:rPr>
        <w:t>’</w:t>
      </w:r>
      <w:r w:rsidR="00414BCD" w:rsidRPr="007F3E67">
        <w:rPr>
          <w:lang w:val="fr-FR"/>
        </w:rPr>
        <w:t>un agent et du délit de faux retenu à l</w:t>
      </w:r>
      <w:r w:rsidR="007F3E67" w:rsidRPr="007F3E67">
        <w:rPr>
          <w:lang w:val="fr-FR"/>
        </w:rPr>
        <w:t>’</w:t>
      </w:r>
      <w:r w:rsidR="00414BCD" w:rsidRPr="007F3E67">
        <w:rPr>
          <w:lang w:val="fr-FR"/>
        </w:rPr>
        <w:t>encontre de quatre autres agents.</w:t>
      </w:r>
    </w:p>
    <w:p w:rsidR="00301040" w:rsidRPr="007F3E67" w:rsidRDefault="00ED0212" w:rsidP="007F3E67">
      <w:pPr>
        <w:pStyle w:val="ECHRPara"/>
        <w:rPr>
          <w:lang w:val="fr-FR"/>
        </w:rPr>
      </w:pPr>
      <w:r w:rsidRPr="007F3E67">
        <w:rPr>
          <w:lang w:val="fr-FR"/>
        </w:rPr>
        <w:fldChar w:fldCharType="begin"/>
      </w:r>
      <w:r w:rsidRPr="007F3E67">
        <w:rPr>
          <w:lang w:val="fr-FR"/>
        </w:rPr>
        <w:instrText xml:space="preserve"> SEQ level0 \*arabic </w:instrText>
      </w:r>
      <w:r w:rsidRPr="007F3E67">
        <w:rPr>
          <w:lang w:val="fr-FR"/>
        </w:rPr>
        <w:fldChar w:fldCharType="separate"/>
      </w:r>
      <w:r w:rsidR="007F3E67" w:rsidRPr="007F3E67">
        <w:rPr>
          <w:noProof/>
          <w:lang w:val="fr-FR"/>
        </w:rPr>
        <w:t>71</w:t>
      </w:r>
      <w:r w:rsidRPr="007F3E67">
        <w:rPr>
          <w:lang w:val="fr-FR"/>
        </w:rPr>
        <w:fldChar w:fldCharType="end"/>
      </w:r>
      <w:r w:rsidRPr="007F3E67">
        <w:rPr>
          <w:lang w:val="fr-FR"/>
        </w:rPr>
        <w:t>.  </w:t>
      </w:r>
      <w:r w:rsidR="00344354" w:rsidRPr="007F3E67">
        <w:rPr>
          <w:lang w:val="fr-FR"/>
        </w:rPr>
        <w:t>Elle rejeta ensuite l</w:t>
      </w:r>
      <w:r w:rsidR="007F3E67" w:rsidRPr="007F3E67">
        <w:rPr>
          <w:lang w:val="fr-FR"/>
        </w:rPr>
        <w:t>’</w:t>
      </w:r>
      <w:r w:rsidR="00344354" w:rsidRPr="007F3E67">
        <w:rPr>
          <w:lang w:val="fr-FR"/>
        </w:rPr>
        <w:t>exception de constitutionnalité soulevée par le procureur général de Gênes, estimant que, en vertu de l</w:t>
      </w:r>
      <w:r w:rsidR="007F3E67" w:rsidRPr="007F3E67">
        <w:rPr>
          <w:lang w:val="fr-FR"/>
        </w:rPr>
        <w:t>’</w:t>
      </w:r>
      <w:r w:rsidR="00344354" w:rsidRPr="007F3E67">
        <w:rPr>
          <w:lang w:val="fr-FR"/>
        </w:rPr>
        <w:t>article 25 de la Constitution relatif au principe de réserve de la loi, seul le législateur pouvait établir les sanctions pénales et définir l</w:t>
      </w:r>
      <w:r w:rsidR="007F3E67" w:rsidRPr="007F3E67">
        <w:rPr>
          <w:lang w:val="fr-FR"/>
        </w:rPr>
        <w:t>’</w:t>
      </w:r>
      <w:r w:rsidR="00344354" w:rsidRPr="007F3E67">
        <w:rPr>
          <w:lang w:val="fr-FR"/>
        </w:rPr>
        <w:t xml:space="preserve">application de mesures telles que la prescription et la remise de peine (pour une analyse plus détaillée, voir </w:t>
      </w:r>
      <w:r w:rsidR="00344354" w:rsidRPr="007F3E67">
        <w:rPr>
          <w:i/>
          <w:lang w:val="fr-FR"/>
        </w:rPr>
        <w:t>Cestaro c. Italie</w:t>
      </w:r>
      <w:r w:rsidR="00344354" w:rsidRPr="007F3E67">
        <w:rPr>
          <w:lang w:val="fr-FR"/>
        </w:rPr>
        <w:t>, n</w:t>
      </w:r>
      <w:r w:rsidR="00344354" w:rsidRPr="007F3E67">
        <w:rPr>
          <w:vertAlign w:val="superscript"/>
          <w:lang w:val="fr-FR"/>
        </w:rPr>
        <w:t>o</w:t>
      </w:r>
      <w:r w:rsidR="00344354" w:rsidRPr="007F3E67">
        <w:rPr>
          <w:lang w:val="fr-FR"/>
        </w:rPr>
        <w:t xml:space="preserve"> 6884/11, §§ 75-80, 7 avril 2015).</w:t>
      </w:r>
    </w:p>
    <w:bookmarkStart w:id="12" w:name="NON_DROIT"/>
    <w:p w:rsidR="00301040" w:rsidRPr="007F3E67" w:rsidRDefault="00723F76" w:rsidP="007F3E67">
      <w:pPr>
        <w:pStyle w:val="ECHRPara"/>
        <w:rPr>
          <w:snapToGrid w:val="0"/>
          <w:lang w:val="fr-FR"/>
        </w:rPr>
      </w:pPr>
      <w:r w:rsidRPr="007F3E67">
        <w:rPr>
          <w:snapToGrid w:val="0"/>
          <w:lang w:val="fr-FR"/>
        </w:rPr>
        <w:fldChar w:fldCharType="begin"/>
      </w:r>
      <w:r w:rsidRPr="007F3E67">
        <w:rPr>
          <w:snapToGrid w:val="0"/>
          <w:lang w:val="fr-FR"/>
        </w:rPr>
        <w:instrText xml:space="preserve"> SEQ level0 \*arabic </w:instrText>
      </w:r>
      <w:r w:rsidRPr="007F3E67">
        <w:rPr>
          <w:snapToGrid w:val="0"/>
          <w:lang w:val="fr-FR"/>
        </w:rPr>
        <w:fldChar w:fldCharType="separate"/>
      </w:r>
      <w:r w:rsidR="007F3E67" w:rsidRPr="007F3E67">
        <w:rPr>
          <w:noProof/>
          <w:snapToGrid w:val="0"/>
          <w:lang w:val="fr-FR"/>
        </w:rPr>
        <w:t>72</w:t>
      </w:r>
      <w:r w:rsidRPr="007F3E67">
        <w:rPr>
          <w:snapToGrid w:val="0"/>
          <w:lang w:val="fr-FR"/>
        </w:rPr>
        <w:fldChar w:fldCharType="end"/>
      </w:r>
      <w:bookmarkEnd w:id="12"/>
      <w:r w:rsidRPr="007F3E67">
        <w:rPr>
          <w:snapToGrid w:val="0"/>
          <w:lang w:val="fr-FR"/>
        </w:rPr>
        <w:t>.  </w:t>
      </w:r>
      <w:r w:rsidR="00973DC1" w:rsidRPr="007F3E67">
        <w:rPr>
          <w:snapToGrid w:val="0"/>
          <w:lang w:val="fr-FR"/>
        </w:rPr>
        <w:t>Elle</w:t>
      </w:r>
      <w:r w:rsidRPr="007F3E67">
        <w:rPr>
          <w:snapToGrid w:val="0"/>
          <w:lang w:val="fr-FR"/>
        </w:rPr>
        <w:t xml:space="preserve"> jugea </w:t>
      </w:r>
      <w:r w:rsidR="00973DC1" w:rsidRPr="007F3E67">
        <w:rPr>
          <w:snapToGrid w:val="0"/>
          <w:lang w:val="fr-FR"/>
        </w:rPr>
        <w:t xml:space="preserve">en outre </w:t>
      </w:r>
      <w:r w:rsidRPr="007F3E67">
        <w:rPr>
          <w:snapToGrid w:val="0"/>
          <w:lang w:val="fr-FR"/>
        </w:rPr>
        <w:t>que les violences perpétrées à l</w:t>
      </w:r>
      <w:r w:rsidR="007F3E67" w:rsidRPr="007F3E67">
        <w:rPr>
          <w:snapToGrid w:val="0"/>
          <w:lang w:val="fr-FR"/>
        </w:rPr>
        <w:t>’</w:t>
      </w:r>
      <w:r w:rsidRPr="007F3E67">
        <w:rPr>
          <w:snapToGrid w:val="0"/>
          <w:lang w:val="fr-FR"/>
        </w:rPr>
        <w:t xml:space="preserve">intérieur de la caserne de Bolzaneto </w:t>
      </w:r>
      <w:r w:rsidR="003C115F" w:rsidRPr="007F3E67">
        <w:rPr>
          <w:snapToGrid w:val="0"/>
          <w:lang w:val="fr-FR"/>
        </w:rPr>
        <w:t>l</w:t>
      </w:r>
      <w:r w:rsidR="007F3E67" w:rsidRPr="007F3E67">
        <w:rPr>
          <w:snapToGrid w:val="0"/>
          <w:lang w:val="fr-FR"/>
        </w:rPr>
        <w:t>’</w:t>
      </w:r>
      <w:r w:rsidR="003C115F" w:rsidRPr="007F3E67">
        <w:rPr>
          <w:snapToGrid w:val="0"/>
          <w:lang w:val="fr-FR"/>
        </w:rPr>
        <w:t>avaient été sans interruption</w:t>
      </w:r>
      <w:r w:rsidRPr="007F3E67">
        <w:rPr>
          <w:snapToGrid w:val="0"/>
          <w:lang w:val="fr-FR"/>
        </w:rPr>
        <w:t xml:space="preserve">, dans des conditions </w:t>
      </w:r>
      <w:r w:rsidR="00FD3B8F" w:rsidRPr="007F3E67">
        <w:rPr>
          <w:snapToGrid w:val="0"/>
          <w:lang w:val="fr-FR"/>
        </w:rPr>
        <w:t>où cha</w:t>
      </w:r>
      <w:r w:rsidR="00344354" w:rsidRPr="007F3E67">
        <w:rPr>
          <w:snapToGrid w:val="0"/>
          <w:lang w:val="fr-FR"/>
        </w:rPr>
        <w:t>que personne présente en avait la totale</w:t>
      </w:r>
      <w:r w:rsidRPr="007F3E67">
        <w:rPr>
          <w:snapToGrid w:val="0"/>
          <w:lang w:val="fr-FR"/>
        </w:rPr>
        <w:t xml:space="preserve"> </w:t>
      </w:r>
      <w:r w:rsidR="00E9165D" w:rsidRPr="007F3E67">
        <w:rPr>
          <w:snapToGrid w:val="0"/>
          <w:lang w:val="fr-FR"/>
        </w:rPr>
        <w:t>percepti</w:t>
      </w:r>
      <w:r w:rsidR="00FD3B8F" w:rsidRPr="007F3E67">
        <w:rPr>
          <w:snapToGrid w:val="0"/>
          <w:lang w:val="fr-FR"/>
        </w:rPr>
        <w:t>on auditive et visuelle</w:t>
      </w:r>
      <w:r w:rsidR="00E9165D" w:rsidRPr="007F3E67">
        <w:rPr>
          <w:snapToGrid w:val="0"/>
          <w:lang w:val="fr-FR"/>
        </w:rPr>
        <w:t xml:space="preserve">. Elle </w:t>
      </w:r>
      <w:r w:rsidR="00FD3B8F" w:rsidRPr="007F3E67">
        <w:rPr>
          <w:snapToGrid w:val="0"/>
          <w:lang w:val="fr-FR"/>
        </w:rPr>
        <w:t>estima, en s</w:t>
      </w:r>
      <w:r w:rsidR="007F3E67" w:rsidRPr="007F3E67">
        <w:rPr>
          <w:snapToGrid w:val="0"/>
          <w:lang w:val="fr-FR"/>
        </w:rPr>
        <w:t>’</w:t>
      </w:r>
      <w:r w:rsidR="00FD3B8F" w:rsidRPr="007F3E67">
        <w:rPr>
          <w:snapToGrid w:val="0"/>
          <w:lang w:val="fr-FR"/>
        </w:rPr>
        <w:t>appuyant sur</w:t>
      </w:r>
      <w:r w:rsidR="00E9165D" w:rsidRPr="007F3E67">
        <w:rPr>
          <w:snapToGrid w:val="0"/>
          <w:lang w:val="fr-FR"/>
        </w:rPr>
        <w:t xml:space="preserve"> trente-neuf témoignages </w:t>
      </w:r>
      <w:r w:rsidR="00FD3B8F" w:rsidRPr="007F3E67">
        <w:rPr>
          <w:snapToGrid w:val="0"/>
          <w:lang w:val="fr-FR"/>
        </w:rPr>
        <w:t>concordants</w:t>
      </w:r>
      <w:r w:rsidR="00973DC1" w:rsidRPr="007F3E67">
        <w:rPr>
          <w:snapToGrid w:val="0"/>
          <w:lang w:val="fr-FR"/>
        </w:rPr>
        <w:t>,</w:t>
      </w:r>
      <w:r w:rsidR="00FD3B8F" w:rsidRPr="007F3E67">
        <w:rPr>
          <w:snapToGrid w:val="0"/>
          <w:lang w:val="fr-FR"/>
        </w:rPr>
        <w:t xml:space="preserve"> qu</w:t>
      </w:r>
      <w:r w:rsidR="00973DC1" w:rsidRPr="007F3E67">
        <w:rPr>
          <w:snapToGrid w:val="0"/>
          <w:lang w:val="fr-FR"/>
        </w:rPr>
        <w:t>e, dans</w:t>
      </w:r>
      <w:r w:rsidR="00FD3B8F" w:rsidRPr="007F3E67">
        <w:rPr>
          <w:snapToGrid w:val="0"/>
          <w:lang w:val="fr-FR"/>
        </w:rPr>
        <w:t xml:space="preserve"> la caserne de Bolzaneto</w:t>
      </w:r>
      <w:r w:rsidR="00B35652" w:rsidRPr="007F3E67">
        <w:rPr>
          <w:snapToGrid w:val="0"/>
          <w:lang w:val="fr-FR"/>
        </w:rPr>
        <w:t>,</w:t>
      </w:r>
      <w:r w:rsidR="00FD3B8F" w:rsidRPr="007F3E67">
        <w:rPr>
          <w:snapToGrid w:val="0"/>
          <w:lang w:val="fr-FR"/>
        </w:rPr>
        <w:t xml:space="preserve"> l</w:t>
      </w:r>
      <w:r w:rsidR="00E9165D" w:rsidRPr="007F3E67">
        <w:rPr>
          <w:snapToGrid w:val="0"/>
          <w:lang w:val="fr-FR"/>
        </w:rPr>
        <w:t>es principes fondamentaux de l</w:t>
      </w:r>
      <w:r w:rsidR="007F3E67" w:rsidRPr="007F3E67">
        <w:rPr>
          <w:snapToGrid w:val="0"/>
          <w:lang w:val="fr-FR"/>
        </w:rPr>
        <w:t>’</w:t>
      </w:r>
      <w:r w:rsidR="00E9165D" w:rsidRPr="007F3E67">
        <w:rPr>
          <w:snapToGrid w:val="0"/>
          <w:lang w:val="fr-FR"/>
        </w:rPr>
        <w:t xml:space="preserve">état de droit </w:t>
      </w:r>
      <w:r w:rsidR="00FD3B8F" w:rsidRPr="007F3E67">
        <w:rPr>
          <w:snapToGrid w:val="0"/>
          <w:lang w:val="fr-FR"/>
        </w:rPr>
        <w:t xml:space="preserve">avaient été </w:t>
      </w:r>
      <w:r w:rsidR="00B35652" w:rsidRPr="007F3E67">
        <w:rPr>
          <w:snapToGrid w:val="0"/>
          <w:lang w:val="fr-FR"/>
        </w:rPr>
        <w:t>écartés</w:t>
      </w:r>
      <w:r w:rsidR="00FD3B8F" w:rsidRPr="007F3E67">
        <w:rPr>
          <w:snapToGrid w:val="0"/>
          <w:lang w:val="fr-FR"/>
        </w:rPr>
        <w:t>.</w:t>
      </w:r>
    </w:p>
    <w:p w:rsidR="00301040" w:rsidRPr="007F3E67" w:rsidRDefault="00814A64" w:rsidP="007F3E67">
      <w:pPr>
        <w:pStyle w:val="ECHRPara"/>
        <w:rPr>
          <w:snapToGrid w:val="0"/>
          <w:lang w:val="fr-FR"/>
        </w:rPr>
      </w:pPr>
      <w:r w:rsidRPr="007F3E67">
        <w:rPr>
          <w:snapToGrid w:val="0"/>
          <w:lang w:val="fr-FR"/>
        </w:rPr>
        <w:fldChar w:fldCharType="begin"/>
      </w:r>
      <w:r w:rsidRPr="007F3E67">
        <w:rPr>
          <w:snapToGrid w:val="0"/>
          <w:lang w:val="fr-FR"/>
        </w:rPr>
        <w:instrText xml:space="preserve"> SEQ level0 \*arabic </w:instrText>
      </w:r>
      <w:r w:rsidRPr="007F3E67">
        <w:rPr>
          <w:snapToGrid w:val="0"/>
          <w:lang w:val="fr-FR"/>
        </w:rPr>
        <w:fldChar w:fldCharType="separate"/>
      </w:r>
      <w:r w:rsidR="007F3E67" w:rsidRPr="007F3E67">
        <w:rPr>
          <w:noProof/>
          <w:snapToGrid w:val="0"/>
          <w:lang w:val="fr-FR"/>
        </w:rPr>
        <w:t>73</w:t>
      </w:r>
      <w:r w:rsidRPr="007F3E67">
        <w:rPr>
          <w:snapToGrid w:val="0"/>
          <w:lang w:val="fr-FR"/>
        </w:rPr>
        <w:fldChar w:fldCharType="end"/>
      </w:r>
      <w:r w:rsidRPr="007F3E67">
        <w:rPr>
          <w:snapToGrid w:val="0"/>
          <w:lang w:val="fr-FR"/>
        </w:rPr>
        <w:t>.  </w:t>
      </w:r>
      <w:r w:rsidR="00EC4434" w:rsidRPr="007F3E67">
        <w:rPr>
          <w:snapToGrid w:val="0"/>
          <w:lang w:val="fr-FR"/>
        </w:rPr>
        <w:t xml:space="preserve">En conclusion, </w:t>
      </w:r>
      <w:r w:rsidR="00B35652" w:rsidRPr="007F3E67">
        <w:rPr>
          <w:snapToGrid w:val="0"/>
          <w:lang w:val="fr-FR"/>
        </w:rPr>
        <w:t>concernant le sort individuel de chaque personne condamnée</w:t>
      </w:r>
      <w:r w:rsidR="002C56B9" w:rsidRPr="007F3E67">
        <w:rPr>
          <w:snapToGrid w:val="0"/>
          <w:lang w:val="fr-FR"/>
        </w:rPr>
        <w:t xml:space="preserve">, </w:t>
      </w:r>
      <w:r w:rsidR="00836F9C" w:rsidRPr="007F3E67">
        <w:rPr>
          <w:snapToGrid w:val="0"/>
          <w:lang w:val="fr-FR"/>
        </w:rPr>
        <w:t>elle</w:t>
      </w:r>
      <w:r w:rsidR="002C56B9" w:rsidRPr="007F3E67">
        <w:rPr>
          <w:snapToGrid w:val="0"/>
          <w:lang w:val="fr-FR"/>
        </w:rPr>
        <w:t xml:space="preserve"> confirma </w:t>
      </w:r>
      <w:r w:rsidRPr="007F3E67">
        <w:rPr>
          <w:snapToGrid w:val="0"/>
          <w:lang w:val="fr-FR"/>
        </w:rPr>
        <w:t xml:space="preserve">la condamnation </w:t>
      </w:r>
      <w:r w:rsidR="00E9165D" w:rsidRPr="007F3E67">
        <w:rPr>
          <w:snapToGrid w:val="0"/>
          <w:lang w:val="fr-FR"/>
        </w:rPr>
        <w:t>de</w:t>
      </w:r>
      <w:r w:rsidR="00B35652" w:rsidRPr="007F3E67">
        <w:rPr>
          <w:snapToGrid w:val="0"/>
          <w:lang w:val="fr-FR"/>
        </w:rPr>
        <w:t>s</w:t>
      </w:r>
      <w:r w:rsidR="00E9165D" w:rsidRPr="007F3E67">
        <w:rPr>
          <w:snapToGrid w:val="0"/>
          <w:lang w:val="fr-FR"/>
        </w:rPr>
        <w:t xml:space="preserve"> trois officiers ayant renoncé à la prescription à un an d</w:t>
      </w:r>
      <w:r w:rsidR="007F3E67" w:rsidRPr="007F3E67">
        <w:rPr>
          <w:snapToGrid w:val="0"/>
          <w:lang w:val="fr-FR"/>
        </w:rPr>
        <w:t>’</w:t>
      </w:r>
      <w:r w:rsidR="00E9165D" w:rsidRPr="007F3E67">
        <w:rPr>
          <w:snapToGrid w:val="0"/>
          <w:lang w:val="fr-FR"/>
        </w:rPr>
        <w:t>emprisonnement pour délit d</w:t>
      </w:r>
      <w:r w:rsidR="007F3E67" w:rsidRPr="007F3E67">
        <w:rPr>
          <w:snapToGrid w:val="0"/>
          <w:lang w:val="fr-FR"/>
        </w:rPr>
        <w:t>’</w:t>
      </w:r>
      <w:r w:rsidR="00E9165D" w:rsidRPr="007F3E67">
        <w:rPr>
          <w:snapToGrid w:val="0"/>
          <w:lang w:val="fr-FR"/>
        </w:rPr>
        <w:t>abus d</w:t>
      </w:r>
      <w:r w:rsidR="007F3E67" w:rsidRPr="007F3E67">
        <w:rPr>
          <w:snapToGrid w:val="0"/>
          <w:lang w:val="fr-FR"/>
        </w:rPr>
        <w:t>’</w:t>
      </w:r>
      <w:r w:rsidR="00CE377F" w:rsidRPr="007F3E67">
        <w:rPr>
          <w:snapToGrid w:val="0"/>
          <w:lang w:val="fr-FR"/>
        </w:rPr>
        <w:t>autorité</w:t>
      </w:r>
      <w:r w:rsidR="002731D8" w:rsidRPr="007F3E67">
        <w:rPr>
          <w:snapToGrid w:val="0"/>
          <w:lang w:val="fr-FR"/>
        </w:rPr>
        <w:t xml:space="preserve"> (dont deux bénéficièrent d</w:t>
      </w:r>
      <w:r w:rsidR="007F3E67" w:rsidRPr="007F3E67">
        <w:rPr>
          <w:snapToGrid w:val="0"/>
          <w:lang w:val="fr-FR"/>
        </w:rPr>
        <w:t>’</w:t>
      </w:r>
      <w:r w:rsidR="001E2CA6" w:rsidRPr="007F3E67">
        <w:rPr>
          <w:snapToGrid w:val="0"/>
          <w:lang w:val="fr-FR"/>
        </w:rPr>
        <w:t>un</w:t>
      </w:r>
      <w:r w:rsidR="002731D8" w:rsidRPr="007F3E67">
        <w:rPr>
          <w:snapToGrid w:val="0"/>
          <w:lang w:val="fr-FR"/>
        </w:rPr>
        <w:t xml:space="preserve"> sursis à l</w:t>
      </w:r>
      <w:r w:rsidR="007F3E67" w:rsidRPr="007F3E67">
        <w:rPr>
          <w:snapToGrid w:val="0"/>
          <w:lang w:val="fr-FR"/>
        </w:rPr>
        <w:t>’</w:t>
      </w:r>
      <w:r w:rsidR="002731D8" w:rsidRPr="007F3E67">
        <w:rPr>
          <w:snapToGrid w:val="0"/>
          <w:lang w:val="fr-FR"/>
        </w:rPr>
        <w:t xml:space="preserve">exécution et le troisième </w:t>
      </w:r>
      <w:r w:rsidR="001E2CA6" w:rsidRPr="007F3E67">
        <w:rPr>
          <w:snapToGrid w:val="0"/>
          <w:lang w:val="fr-FR"/>
        </w:rPr>
        <w:t>d</w:t>
      </w:r>
      <w:r w:rsidR="007F3E67" w:rsidRPr="007F3E67">
        <w:rPr>
          <w:snapToGrid w:val="0"/>
          <w:lang w:val="fr-FR"/>
        </w:rPr>
        <w:t>’</w:t>
      </w:r>
      <w:r w:rsidR="001E2CA6" w:rsidRPr="007F3E67">
        <w:rPr>
          <w:snapToGrid w:val="0"/>
          <w:lang w:val="fr-FR"/>
        </w:rPr>
        <w:t>une</w:t>
      </w:r>
      <w:r w:rsidR="002731D8" w:rsidRPr="007F3E67">
        <w:rPr>
          <w:snapToGrid w:val="0"/>
          <w:lang w:val="fr-FR"/>
        </w:rPr>
        <w:t xml:space="preserve"> remise de peine)</w:t>
      </w:r>
      <w:r w:rsidR="00E9165D" w:rsidRPr="007F3E67">
        <w:rPr>
          <w:snapToGrid w:val="0"/>
          <w:lang w:val="fr-FR"/>
        </w:rPr>
        <w:t>, de trois autres</w:t>
      </w:r>
      <w:r w:rsidR="002C56B9" w:rsidRPr="007F3E67">
        <w:rPr>
          <w:snapToGrid w:val="0"/>
          <w:lang w:val="fr-FR"/>
        </w:rPr>
        <w:t xml:space="preserve"> officiers </w:t>
      </w:r>
      <w:r w:rsidR="003539A0" w:rsidRPr="007F3E67">
        <w:rPr>
          <w:snapToGrid w:val="0"/>
          <w:lang w:val="fr-FR"/>
        </w:rPr>
        <w:t>à un an et six mois d</w:t>
      </w:r>
      <w:r w:rsidR="007F3E67" w:rsidRPr="007F3E67">
        <w:rPr>
          <w:snapToGrid w:val="0"/>
          <w:lang w:val="fr-FR"/>
        </w:rPr>
        <w:t>’</w:t>
      </w:r>
      <w:r w:rsidR="003539A0" w:rsidRPr="007F3E67">
        <w:rPr>
          <w:snapToGrid w:val="0"/>
          <w:lang w:val="fr-FR"/>
        </w:rPr>
        <w:t xml:space="preserve">emprisonnement </w:t>
      </w:r>
      <w:r w:rsidR="00D45736" w:rsidRPr="007F3E67">
        <w:rPr>
          <w:snapToGrid w:val="0"/>
          <w:lang w:val="fr-FR"/>
        </w:rPr>
        <w:t>avec sursis</w:t>
      </w:r>
      <w:r w:rsidR="00E9165D" w:rsidRPr="007F3E67">
        <w:rPr>
          <w:snapToGrid w:val="0"/>
          <w:lang w:val="fr-FR"/>
        </w:rPr>
        <w:t xml:space="preserve"> pour délit de faux</w:t>
      </w:r>
      <w:r w:rsidR="00FC06C7" w:rsidRPr="007F3E67">
        <w:rPr>
          <w:snapToGrid w:val="0"/>
          <w:lang w:val="fr-FR"/>
        </w:rPr>
        <w:t xml:space="preserve"> et d</w:t>
      </w:r>
      <w:r w:rsidR="007F3E67" w:rsidRPr="007F3E67">
        <w:rPr>
          <w:snapToGrid w:val="0"/>
          <w:lang w:val="fr-FR"/>
        </w:rPr>
        <w:t>’</w:t>
      </w:r>
      <w:r w:rsidR="00FC06C7" w:rsidRPr="007F3E67">
        <w:rPr>
          <w:snapToGrid w:val="0"/>
          <w:lang w:val="fr-FR"/>
        </w:rPr>
        <w:t>un médecin de l</w:t>
      </w:r>
      <w:r w:rsidR="007F3E67" w:rsidRPr="007F3E67">
        <w:rPr>
          <w:snapToGrid w:val="0"/>
          <w:lang w:val="fr-FR"/>
        </w:rPr>
        <w:t>’</w:t>
      </w:r>
      <w:r w:rsidR="00FC06C7" w:rsidRPr="007F3E67">
        <w:rPr>
          <w:snapToGrid w:val="0"/>
          <w:lang w:val="fr-FR"/>
        </w:rPr>
        <w:t xml:space="preserve">administration pénitentiaire à deux ans pour </w:t>
      </w:r>
      <w:r w:rsidR="00CE377F" w:rsidRPr="007F3E67">
        <w:rPr>
          <w:snapToGrid w:val="0"/>
          <w:lang w:val="fr-FR"/>
        </w:rPr>
        <w:t>le même délit.</w:t>
      </w:r>
      <w:r w:rsidR="00D45736" w:rsidRPr="007F3E67">
        <w:rPr>
          <w:snapToGrid w:val="0"/>
          <w:lang w:val="fr-FR"/>
        </w:rPr>
        <w:t xml:space="preserve"> </w:t>
      </w:r>
      <w:r w:rsidR="00293F1E" w:rsidRPr="007F3E67">
        <w:rPr>
          <w:snapToGrid w:val="0"/>
          <w:lang w:val="fr-FR"/>
        </w:rPr>
        <w:t>Elle c</w:t>
      </w:r>
      <w:r w:rsidR="00D45736" w:rsidRPr="007F3E67">
        <w:rPr>
          <w:snapToGrid w:val="0"/>
          <w:lang w:val="fr-FR"/>
        </w:rPr>
        <w:t>onfirm</w:t>
      </w:r>
      <w:r w:rsidR="00293F1E" w:rsidRPr="007F3E67">
        <w:rPr>
          <w:snapToGrid w:val="0"/>
          <w:lang w:val="fr-FR"/>
        </w:rPr>
        <w:t>a</w:t>
      </w:r>
      <w:r w:rsidR="00D45736" w:rsidRPr="007F3E67">
        <w:rPr>
          <w:snapToGrid w:val="0"/>
          <w:lang w:val="fr-FR"/>
        </w:rPr>
        <w:t xml:space="preserve"> également la condamnation </w:t>
      </w:r>
      <w:r w:rsidR="00E9165D" w:rsidRPr="007F3E67">
        <w:rPr>
          <w:snapToGrid w:val="0"/>
          <w:lang w:val="fr-FR"/>
        </w:rPr>
        <w:t>d</w:t>
      </w:r>
      <w:r w:rsidR="007F3E67" w:rsidRPr="007F3E67">
        <w:rPr>
          <w:snapToGrid w:val="0"/>
          <w:lang w:val="fr-FR"/>
        </w:rPr>
        <w:t>’</w:t>
      </w:r>
      <w:r w:rsidR="00E9165D" w:rsidRPr="007F3E67">
        <w:rPr>
          <w:snapToGrid w:val="0"/>
          <w:lang w:val="fr-FR"/>
        </w:rPr>
        <w:t xml:space="preserve">un agent </w:t>
      </w:r>
      <w:r w:rsidR="00ED0212" w:rsidRPr="007F3E67">
        <w:rPr>
          <w:snapToGrid w:val="0"/>
          <w:lang w:val="fr-FR"/>
        </w:rPr>
        <w:t>à trois ans et deux mois d</w:t>
      </w:r>
      <w:r w:rsidR="007F3E67" w:rsidRPr="007F3E67">
        <w:rPr>
          <w:snapToGrid w:val="0"/>
          <w:lang w:val="fr-FR"/>
        </w:rPr>
        <w:t>’</w:t>
      </w:r>
      <w:r w:rsidRPr="007F3E67">
        <w:rPr>
          <w:snapToGrid w:val="0"/>
          <w:lang w:val="fr-FR"/>
        </w:rPr>
        <w:t>emprisonnement</w:t>
      </w:r>
      <w:r w:rsidR="00ED0212" w:rsidRPr="007F3E67">
        <w:rPr>
          <w:snapToGrid w:val="0"/>
          <w:lang w:val="fr-FR"/>
        </w:rPr>
        <w:t xml:space="preserve"> pour délit de lésions corporelles</w:t>
      </w:r>
      <w:r w:rsidR="00E9165D" w:rsidRPr="007F3E67">
        <w:rPr>
          <w:snapToGrid w:val="0"/>
          <w:lang w:val="fr-FR"/>
        </w:rPr>
        <w:t xml:space="preserve">. </w:t>
      </w:r>
      <w:r w:rsidR="00181512" w:rsidRPr="007F3E67">
        <w:rPr>
          <w:snapToGrid w:val="0"/>
          <w:lang w:val="fr-FR"/>
        </w:rPr>
        <w:t xml:space="preserve">Celui-ci </w:t>
      </w:r>
      <w:r w:rsidR="00180C50" w:rsidRPr="007F3E67">
        <w:rPr>
          <w:snapToGrid w:val="0"/>
          <w:lang w:val="fr-FR"/>
        </w:rPr>
        <w:t>bénéficia d</w:t>
      </w:r>
      <w:r w:rsidR="007F3E67" w:rsidRPr="007F3E67">
        <w:rPr>
          <w:snapToGrid w:val="0"/>
          <w:lang w:val="fr-FR"/>
        </w:rPr>
        <w:t>’</w:t>
      </w:r>
      <w:r w:rsidR="00180C50" w:rsidRPr="007F3E67">
        <w:rPr>
          <w:snapToGrid w:val="0"/>
          <w:lang w:val="fr-FR"/>
        </w:rPr>
        <w:t>une</w:t>
      </w:r>
      <w:r w:rsidR="00ED0212" w:rsidRPr="007F3E67">
        <w:rPr>
          <w:snapToGrid w:val="0"/>
          <w:lang w:val="fr-FR"/>
        </w:rPr>
        <w:t xml:space="preserve"> </w:t>
      </w:r>
      <w:r w:rsidR="002C56B9" w:rsidRPr="007F3E67">
        <w:rPr>
          <w:snapToGrid w:val="0"/>
          <w:lang w:val="fr-FR"/>
        </w:rPr>
        <w:t>r</w:t>
      </w:r>
      <w:r w:rsidR="00180C50" w:rsidRPr="007F3E67">
        <w:rPr>
          <w:snapToGrid w:val="0"/>
          <w:lang w:val="fr-FR"/>
        </w:rPr>
        <w:t>e</w:t>
      </w:r>
      <w:r w:rsidR="002C56B9" w:rsidRPr="007F3E67">
        <w:rPr>
          <w:snapToGrid w:val="0"/>
          <w:lang w:val="fr-FR"/>
        </w:rPr>
        <w:t>mise de peine de trois ans.</w:t>
      </w:r>
    </w:p>
    <w:p w:rsidR="00301040" w:rsidRPr="007F3E67" w:rsidRDefault="00EC4434" w:rsidP="007F3E67">
      <w:pPr>
        <w:pStyle w:val="ECHRPara"/>
        <w:rPr>
          <w:snapToGrid w:val="0"/>
          <w:lang w:val="fr-FR"/>
        </w:rPr>
      </w:pPr>
      <w:r w:rsidRPr="007F3E67">
        <w:rPr>
          <w:snapToGrid w:val="0"/>
          <w:lang w:val="fr-FR"/>
        </w:rPr>
        <w:fldChar w:fldCharType="begin"/>
      </w:r>
      <w:r w:rsidRPr="007F3E67">
        <w:rPr>
          <w:snapToGrid w:val="0"/>
          <w:lang w:val="fr-FR"/>
        </w:rPr>
        <w:instrText xml:space="preserve"> SEQ level0 \*arabic </w:instrText>
      </w:r>
      <w:r w:rsidRPr="007F3E67">
        <w:rPr>
          <w:snapToGrid w:val="0"/>
          <w:lang w:val="fr-FR"/>
        </w:rPr>
        <w:fldChar w:fldCharType="separate"/>
      </w:r>
      <w:r w:rsidR="007F3E67" w:rsidRPr="007F3E67">
        <w:rPr>
          <w:noProof/>
          <w:snapToGrid w:val="0"/>
          <w:lang w:val="fr-FR"/>
        </w:rPr>
        <w:t>74</w:t>
      </w:r>
      <w:r w:rsidRPr="007F3E67">
        <w:rPr>
          <w:snapToGrid w:val="0"/>
          <w:lang w:val="fr-FR"/>
        </w:rPr>
        <w:fldChar w:fldCharType="end"/>
      </w:r>
      <w:r w:rsidRPr="007F3E67">
        <w:rPr>
          <w:snapToGrid w:val="0"/>
          <w:lang w:val="fr-FR"/>
        </w:rPr>
        <w:t xml:space="preserve">.  Pour ce qui est des autres appelants, la Cour de cassation </w:t>
      </w:r>
      <w:r w:rsidR="00A07F4A" w:rsidRPr="007F3E67">
        <w:rPr>
          <w:snapToGrid w:val="0"/>
          <w:lang w:val="fr-FR"/>
        </w:rPr>
        <w:t>confirma l</w:t>
      </w:r>
      <w:r w:rsidR="007F3E67" w:rsidRPr="007F3E67">
        <w:rPr>
          <w:snapToGrid w:val="0"/>
          <w:lang w:val="fr-FR"/>
        </w:rPr>
        <w:t>’</w:t>
      </w:r>
      <w:r w:rsidR="00A07F4A" w:rsidRPr="007F3E67">
        <w:rPr>
          <w:snapToGrid w:val="0"/>
          <w:lang w:val="fr-FR"/>
        </w:rPr>
        <w:t xml:space="preserve">arrêt entrepris </w:t>
      </w:r>
      <w:r w:rsidR="00181512" w:rsidRPr="007F3E67">
        <w:rPr>
          <w:snapToGrid w:val="0"/>
          <w:lang w:val="fr-FR"/>
        </w:rPr>
        <w:t>quant à</w:t>
      </w:r>
      <w:r w:rsidR="00A07F4A" w:rsidRPr="007F3E67">
        <w:rPr>
          <w:snapToGrid w:val="0"/>
          <w:lang w:val="fr-FR"/>
        </w:rPr>
        <w:t xml:space="preserve"> la responsabilité civile </w:t>
      </w:r>
      <w:r w:rsidR="0088129B" w:rsidRPr="007F3E67">
        <w:rPr>
          <w:snapToGrid w:val="0"/>
          <w:lang w:val="fr-FR"/>
        </w:rPr>
        <w:t>des plus hauts gradés impliqués, à savoir le</w:t>
      </w:r>
      <w:r w:rsidR="00A07F4A" w:rsidRPr="007F3E67">
        <w:rPr>
          <w:snapToGrid w:val="0"/>
          <w:lang w:val="fr-FR"/>
        </w:rPr>
        <w:t xml:space="preserve"> </w:t>
      </w:r>
      <w:r w:rsidR="002B7B6A" w:rsidRPr="007F3E67">
        <w:rPr>
          <w:snapToGrid w:val="0"/>
          <w:lang w:val="fr-FR"/>
        </w:rPr>
        <w:t>préfet de police adjoint</w:t>
      </w:r>
      <w:r w:rsidR="00A07F4A" w:rsidRPr="007F3E67">
        <w:rPr>
          <w:snapToGrid w:val="0"/>
          <w:lang w:val="fr-FR"/>
        </w:rPr>
        <w:t>, la</w:t>
      </w:r>
      <w:r w:rsidR="00D3179B" w:rsidRPr="007F3E67">
        <w:rPr>
          <w:snapToGrid w:val="0"/>
          <w:lang w:val="fr-FR"/>
        </w:rPr>
        <w:t xml:space="preserve"> commis</w:t>
      </w:r>
      <w:r w:rsidR="00B42F93" w:rsidRPr="007F3E67">
        <w:rPr>
          <w:snapToGrid w:val="0"/>
          <w:lang w:val="fr-FR"/>
        </w:rPr>
        <w:t>s</w:t>
      </w:r>
      <w:r w:rsidR="00D3179B" w:rsidRPr="007F3E67">
        <w:rPr>
          <w:snapToGrid w:val="0"/>
          <w:lang w:val="fr-FR"/>
        </w:rPr>
        <w:t xml:space="preserve">aire en chef </w:t>
      </w:r>
      <w:r w:rsidR="00D3179B" w:rsidRPr="007F3E67">
        <w:rPr>
          <w:snapToGrid w:val="0"/>
          <w:lang w:val="fr-FR"/>
        </w:rPr>
        <w:lastRenderedPageBreak/>
        <w:t>(</w:t>
      </w:r>
      <w:r w:rsidR="00D3179B" w:rsidRPr="007F3E67">
        <w:rPr>
          <w:i/>
          <w:snapToGrid w:val="0"/>
          <w:lang w:val="fr-FR"/>
        </w:rPr>
        <w:t>commissario capo</w:t>
      </w:r>
      <w:r w:rsidR="00D3179B" w:rsidRPr="007F3E67">
        <w:rPr>
          <w:snapToGrid w:val="0"/>
          <w:lang w:val="fr-FR"/>
        </w:rPr>
        <w:t xml:space="preserve">) </w:t>
      </w:r>
      <w:r w:rsidR="0088129B" w:rsidRPr="007F3E67">
        <w:rPr>
          <w:snapToGrid w:val="0"/>
          <w:lang w:val="fr-FR"/>
        </w:rPr>
        <w:t>et</w:t>
      </w:r>
      <w:r w:rsidR="00A07F4A" w:rsidRPr="007F3E67">
        <w:rPr>
          <w:snapToGrid w:val="0"/>
          <w:lang w:val="fr-FR"/>
        </w:rPr>
        <w:t xml:space="preserve"> l</w:t>
      </w:r>
      <w:r w:rsidR="007F3E67" w:rsidRPr="007F3E67">
        <w:rPr>
          <w:snapToGrid w:val="0"/>
          <w:lang w:val="fr-FR"/>
        </w:rPr>
        <w:t>’</w:t>
      </w:r>
      <w:r w:rsidR="00A07F4A" w:rsidRPr="007F3E67">
        <w:rPr>
          <w:snapToGrid w:val="0"/>
          <w:lang w:val="fr-FR"/>
        </w:rPr>
        <w:t>inspecteur</w:t>
      </w:r>
      <w:r w:rsidR="00CC5274" w:rsidRPr="007F3E67">
        <w:rPr>
          <w:snapToGrid w:val="0"/>
          <w:lang w:val="fr-FR"/>
        </w:rPr>
        <w:t xml:space="preserve"> de police pénitentiaire</w:t>
      </w:r>
      <w:r w:rsidR="003255A9" w:rsidRPr="007F3E67">
        <w:rPr>
          <w:snapToGrid w:val="0"/>
          <w:lang w:val="fr-FR"/>
        </w:rPr>
        <w:t xml:space="preserve"> </w:t>
      </w:r>
      <w:r w:rsidR="00BF3643" w:rsidRPr="007F3E67">
        <w:rPr>
          <w:snapToGrid w:val="0"/>
          <w:lang w:val="fr-FR"/>
        </w:rPr>
        <w:t xml:space="preserve">chargé de la sécurité du site pénitentiaire </w:t>
      </w:r>
      <w:r w:rsidR="00181512" w:rsidRPr="007F3E67">
        <w:rPr>
          <w:snapToGrid w:val="0"/>
          <w:lang w:val="fr-FR"/>
        </w:rPr>
        <w:t>établi dans</w:t>
      </w:r>
      <w:r w:rsidR="00EC33DB" w:rsidRPr="007F3E67">
        <w:rPr>
          <w:snapToGrid w:val="0"/>
          <w:lang w:val="fr-FR"/>
        </w:rPr>
        <w:t xml:space="preserve"> la caserne </w:t>
      </w:r>
      <w:r w:rsidR="00181512" w:rsidRPr="007F3E67">
        <w:rPr>
          <w:snapToGrid w:val="0"/>
          <w:lang w:val="fr-FR"/>
        </w:rPr>
        <w:t xml:space="preserve">de </w:t>
      </w:r>
      <w:r w:rsidR="00EC33DB" w:rsidRPr="007F3E67">
        <w:rPr>
          <w:snapToGrid w:val="0"/>
          <w:lang w:val="fr-FR"/>
        </w:rPr>
        <w:t>Bolzaneto</w:t>
      </w:r>
      <w:r w:rsidR="0088129B" w:rsidRPr="007F3E67">
        <w:rPr>
          <w:snapToGrid w:val="0"/>
          <w:lang w:val="fr-FR"/>
        </w:rPr>
        <w:t xml:space="preserve">. Elle parvint au même constat </w:t>
      </w:r>
      <w:r w:rsidR="00833813" w:rsidRPr="007F3E67">
        <w:rPr>
          <w:snapToGrid w:val="0"/>
          <w:lang w:val="fr-FR"/>
        </w:rPr>
        <w:t xml:space="preserve">concernant </w:t>
      </w:r>
      <w:r w:rsidR="003539A0" w:rsidRPr="007F3E67">
        <w:rPr>
          <w:snapToGrid w:val="0"/>
          <w:lang w:val="fr-FR"/>
        </w:rPr>
        <w:t>de nombreux</w:t>
      </w:r>
      <w:r w:rsidRPr="007F3E67">
        <w:rPr>
          <w:snapToGrid w:val="0"/>
          <w:lang w:val="fr-FR"/>
        </w:rPr>
        <w:t xml:space="preserve"> officiers</w:t>
      </w:r>
      <w:r w:rsidR="003539A0" w:rsidRPr="007F3E67">
        <w:rPr>
          <w:snapToGrid w:val="0"/>
          <w:lang w:val="fr-FR"/>
        </w:rPr>
        <w:t xml:space="preserve"> et agents</w:t>
      </w:r>
      <w:r w:rsidRPr="007F3E67">
        <w:rPr>
          <w:snapToGrid w:val="0"/>
          <w:lang w:val="fr-FR"/>
        </w:rPr>
        <w:t xml:space="preserve"> de la police</w:t>
      </w:r>
      <w:r w:rsidR="003539A0" w:rsidRPr="007F3E67">
        <w:rPr>
          <w:snapToGrid w:val="0"/>
          <w:lang w:val="fr-FR"/>
        </w:rPr>
        <w:t xml:space="preserve"> pénitentiaire et des forces de l</w:t>
      </w:r>
      <w:r w:rsidR="007F3E67" w:rsidRPr="007F3E67">
        <w:rPr>
          <w:snapToGrid w:val="0"/>
          <w:lang w:val="fr-FR"/>
        </w:rPr>
        <w:t>’</w:t>
      </w:r>
      <w:r w:rsidR="003539A0" w:rsidRPr="007F3E67">
        <w:rPr>
          <w:snapToGrid w:val="0"/>
          <w:lang w:val="fr-FR"/>
        </w:rPr>
        <w:t xml:space="preserve">ordre ainsi </w:t>
      </w:r>
      <w:r w:rsidR="00833813" w:rsidRPr="007F3E67">
        <w:rPr>
          <w:snapToGrid w:val="0"/>
          <w:lang w:val="fr-FR"/>
        </w:rPr>
        <w:t>que le</w:t>
      </w:r>
      <w:r w:rsidR="003539A0" w:rsidRPr="007F3E67">
        <w:rPr>
          <w:snapToGrid w:val="0"/>
          <w:lang w:val="fr-FR"/>
        </w:rPr>
        <w:t xml:space="preserve"> personnel de santé</w:t>
      </w:r>
      <w:r w:rsidR="0088129B" w:rsidRPr="007F3E67">
        <w:rPr>
          <w:snapToGrid w:val="0"/>
          <w:lang w:val="fr-FR"/>
        </w:rPr>
        <w:t xml:space="preserve"> </w:t>
      </w:r>
      <w:r w:rsidR="00833813" w:rsidRPr="007F3E67">
        <w:rPr>
          <w:snapToGrid w:val="0"/>
          <w:lang w:val="fr-FR"/>
        </w:rPr>
        <w:t xml:space="preserve">en cause, </w:t>
      </w:r>
      <w:r w:rsidR="0088129B" w:rsidRPr="007F3E67">
        <w:rPr>
          <w:snapToGrid w:val="0"/>
          <w:lang w:val="fr-FR"/>
        </w:rPr>
        <w:t xml:space="preserve">dont le </w:t>
      </w:r>
      <w:r w:rsidR="00865F7C" w:rsidRPr="007F3E67">
        <w:rPr>
          <w:snapToGrid w:val="0"/>
          <w:lang w:val="fr-FR"/>
        </w:rPr>
        <w:t>re</w:t>
      </w:r>
      <w:r w:rsidR="003539A0" w:rsidRPr="007F3E67">
        <w:rPr>
          <w:snapToGrid w:val="0"/>
          <w:lang w:val="fr-FR"/>
        </w:rPr>
        <w:t>sponsable du service de santé du site</w:t>
      </w:r>
      <w:r w:rsidR="0088129B" w:rsidRPr="007F3E67">
        <w:rPr>
          <w:snapToGrid w:val="0"/>
          <w:lang w:val="fr-FR"/>
        </w:rPr>
        <w:t>.</w:t>
      </w:r>
    </w:p>
    <w:p w:rsidR="00E235F1" w:rsidRPr="007F3E67" w:rsidRDefault="00A97EF9" w:rsidP="007F3E67">
      <w:pPr>
        <w:pStyle w:val="ECHRHeading2"/>
        <w:rPr>
          <w:lang w:val="fr-FR"/>
        </w:rPr>
      </w:pPr>
      <w:r w:rsidRPr="007F3E67">
        <w:rPr>
          <w:lang w:val="fr-FR"/>
        </w:rPr>
        <w:t>D</w:t>
      </w:r>
      <w:r w:rsidR="00681EA4" w:rsidRPr="007F3E67">
        <w:rPr>
          <w:lang w:val="fr-FR"/>
        </w:rPr>
        <w:t>.</w:t>
      </w:r>
      <w:r w:rsidR="00833813" w:rsidRPr="007F3E67">
        <w:rPr>
          <w:lang w:val="fr-FR"/>
        </w:rPr>
        <w:t>  </w:t>
      </w:r>
      <w:r w:rsidR="00E235F1" w:rsidRPr="007F3E67">
        <w:rPr>
          <w:lang w:val="fr-FR"/>
        </w:rPr>
        <w:t>L</w:t>
      </w:r>
      <w:r w:rsidR="007F3E67" w:rsidRPr="007F3E67">
        <w:rPr>
          <w:lang w:val="fr-FR"/>
        </w:rPr>
        <w:t>’</w:t>
      </w:r>
      <w:r w:rsidR="00E235F1" w:rsidRPr="007F3E67">
        <w:rPr>
          <w:lang w:val="fr-FR"/>
        </w:rPr>
        <w:t>enquête parlementaire d</w:t>
      </w:r>
      <w:r w:rsidR="007F3E67" w:rsidRPr="007F3E67">
        <w:rPr>
          <w:lang w:val="fr-FR"/>
        </w:rPr>
        <w:t>’</w:t>
      </w:r>
      <w:r w:rsidR="00E235F1" w:rsidRPr="007F3E67">
        <w:rPr>
          <w:lang w:val="fr-FR"/>
        </w:rPr>
        <w:t>information</w:t>
      </w:r>
    </w:p>
    <w:p w:rsidR="00E235F1" w:rsidRPr="007F3E67" w:rsidRDefault="00E235F1" w:rsidP="007F3E67">
      <w:pPr>
        <w:pStyle w:val="ECHRPara"/>
        <w:rPr>
          <w:szCs w:val="24"/>
          <w:lang w:val="fr-FR"/>
        </w:rPr>
      </w:pPr>
      <w:r w:rsidRPr="007F3E67">
        <w:rPr>
          <w:szCs w:val="24"/>
          <w:lang w:val="fr-FR"/>
        </w:rPr>
        <w:fldChar w:fldCharType="begin"/>
      </w:r>
      <w:r w:rsidRPr="007F3E67">
        <w:rPr>
          <w:szCs w:val="24"/>
          <w:lang w:val="fr-FR"/>
        </w:rPr>
        <w:instrText xml:space="preserve"> SEQ level0 \*arabic </w:instrText>
      </w:r>
      <w:r w:rsidRPr="007F3E67">
        <w:rPr>
          <w:szCs w:val="24"/>
          <w:lang w:val="fr-FR"/>
        </w:rPr>
        <w:fldChar w:fldCharType="separate"/>
      </w:r>
      <w:r w:rsidR="007F3E67" w:rsidRPr="007F3E67">
        <w:rPr>
          <w:noProof/>
          <w:szCs w:val="24"/>
          <w:lang w:val="fr-FR"/>
        </w:rPr>
        <w:t>75</w:t>
      </w:r>
      <w:r w:rsidRPr="007F3E67">
        <w:rPr>
          <w:szCs w:val="24"/>
          <w:lang w:val="fr-FR"/>
        </w:rPr>
        <w:fldChar w:fldCharType="end"/>
      </w:r>
      <w:r w:rsidRPr="007F3E67">
        <w:rPr>
          <w:szCs w:val="24"/>
          <w:lang w:val="fr-FR"/>
        </w:rPr>
        <w:t>.  Le 2 août 2001, les présidents du Sénat et de la Chambre des députés décidèrent qu</w:t>
      </w:r>
      <w:r w:rsidR="007F3E67" w:rsidRPr="007F3E67">
        <w:rPr>
          <w:szCs w:val="24"/>
          <w:lang w:val="fr-FR"/>
        </w:rPr>
        <w:t>’</w:t>
      </w:r>
      <w:r w:rsidRPr="007F3E67">
        <w:rPr>
          <w:szCs w:val="24"/>
          <w:lang w:val="fr-FR"/>
        </w:rPr>
        <w:t>une enquête d</w:t>
      </w:r>
      <w:r w:rsidR="007F3E67" w:rsidRPr="007F3E67">
        <w:rPr>
          <w:szCs w:val="24"/>
          <w:lang w:val="fr-FR"/>
        </w:rPr>
        <w:t>’</w:t>
      </w:r>
      <w:r w:rsidRPr="007F3E67">
        <w:rPr>
          <w:szCs w:val="24"/>
          <w:lang w:val="fr-FR"/>
        </w:rPr>
        <w:t>information (</w:t>
      </w:r>
      <w:r w:rsidRPr="007F3E67">
        <w:rPr>
          <w:i/>
          <w:szCs w:val="24"/>
          <w:lang w:val="fr-FR"/>
        </w:rPr>
        <w:t>indagine conoscitiva</w:t>
      </w:r>
      <w:r w:rsidRPr="007F3E67">
        <w:rPr>
          <w:szCs w:val="24"/>
          <w:lang w:val="fr-FR"/>
        </w:rPr>
        <w:t xml:space="preserve">) sur les faits survenus lors du G8 de Gênes serait menée par les commissions des Affaires constitutionnelles des deux chambres du Parlement. </w:t>
      </w:r>
      <w:r w:rsidR="00F50DAF" w:rsidRPr="007F3E67">
        <w:rPr>
          <w:szCs w:val="24"/>
          <w:lang w:val="fr-FR"/>
        </w:rPr>
        <w:t>À</w:t>
      </w:r>
      <w:r w:rsidRPr="007F3E67">
        <w:rPr>
          <w:szCs w:val="24"/>
          <w:lang w:val="fr-FR"/>
        </w:rPr>
        <w:t xml:space="preserve"> cette fin, il fut créé une commission composée de dix-huit députés et de dix-huit</w:t>
      </w:r>
      <w:r w:rsidR="00833813" w:rsidRPr="007F3E67">
        <w:rPr>
          <w:szCs w:val="24"/>
          <w:lang w:val="fr-FR"/>
        </w:rPr>
        <w:t xml:space="preserve"> </w:t>
      </w:r>
      <w:r w:rsidRPr="007F3E67">
        <w:rPr>
          <w:szCs w:val="24"/>
          <w:lang w:val="fr-FR"/>
        </w:rPr>
        <w:t>sénateurs.</w:t>
      </w:r>
    </w:p>
    <w:p w:rsidR="00E235F1" w:rsidRPr="007F3E67" w:rsidRDefault="00E235F1" w:rsidP="007F3E67">
      <w:pPr>
        <w:pStyle w:val="ECHRPara"/>
        <w:rPr>
          <w:szCs w:val="24"/>
          <w:lang w:val="fr-FR"/>
        </w:rPr>
      </w:pPr>
      <w:r w:rsidRPr="007F3E67">
        <w:rPr>
          <w:szCs w:val="24"/>
          <w:lang w:val="fr-FR"/>
        </w:rPr>
        <w:fldChar w:fldCharType="begin"/>
      </w:r>
      <w:r w:rsidRPr="007F3E67">
        <w:rPr>
          <w:szCs w:val="24"/>
          <w:lang w:val="fr-FR"/>
        </w:rPr>
        <w:instrText xml:space="preserve"> SEQ level0 \*arabic </w:instrText>
      </w:r>
      <w:r w:rsidRPr="007F3E67">
        <w:rPr>
          <w:szCs w:val="24"/>
          <w:lang w:val="fr-FR"/>
        </w:rPr>
        <w:fldChar w:fldCharType="separate"/>
      </w:r>
      <w:r w:rsidR="007F3E67" w:rsidRPr="007F3E67">
        <w:rPr>
          <w:noProof/>
          <w:szCs w:val="24"/>
          <w:lang w:val="fr-FR"/>
        </w:rPr>
        <w:t>76</w:t>
      </w:r>
      <w:r w:rsidRPr="007F3E67">
        <w:rPr>
          <w:szCs w:val="24"/>
          <w:lang w:val="fr-FR"/>
        </w:rPr>
        <w:fldChar w:fldCharType="end"/>
      </w:r>
      <w:r w:rsidRPr="007F3E67">
        <w:rPr>
          <w:szCs w:val="24"/>
          <w:lang w:val="fr-FR"/>
        </w:rPr>
        <w:t>.  Le 20 septembre 2001, la commission déposa un rapport contenant les conclusions de sa majorité</w:t>
      </w:r>
      <w:r w:rsidR="00833813" w:rsidRPr="007F3E67">
        <w:rPr>
          <w:szCs w:val="24"/>
          <w:lang w:val="fr-FR"/>
        </w:rPr>
        <w:t xml:space="preserve">, </w:t>
      </w:r>
      <w:r w:rsidRPr="007F3E67">
        <w:rPr>
          <w:szCs w:val="24"/>
          <w:lang w:val="fr-FR"/>
        </w:rPr>
        <w:t>intitulé « Rapport final de l</w:t>
      </w:r>
      <w:r w:rsidR="007F3E67" w:rsidRPr="007F3E67">
        <w:rPr>
          <w:szCs w:val="24"/>
          <w:lang w:val="fr-FR"/>
        </w:rPr>
        <w:t>’</w:t>
      </w:r>
      <w:r w:rsidRPr="007F3E67">
        <w:rPr>
          <w:szCs w:val="24"/>
          <w:lang w:val="fr-FR"/>
        </w:rPr>
        <w:t>enquête parlementaire sur les faits survenus lors du G8 de Gênes ».</w:t>
      </w:r>
    </w:p>
    <w:p w:rsidR="00E235F1" w:rsidRPr="007F3E67" w:rsidRDefault="00E235F1" w:rsidP="007F3E67">
      <w:pPr>
        <w:pStyle w:val="ECHRPara"/>
        <w:rPr>
          <w:szCs w:val="24"/>
          <w:lang w:val="fr-FR"/>
        </w:rPr>
      </w:pPr>
      <w:r w:rsidRPr="007F3E67">
        <w:rPr>
          <w:szCs w:val="24"/>
          <w:lang w:val="fr-FR"/>
        </w:rPr>
        <w:fldChar w:fldCharType="begin"/>
      </w:r>
      <w:r w:rsidRPr="007F3E67">
        <w:rPr>
          <w:szCs w:val="24"/>
          <w:lang w:val="fr-FR"/>
        </w:rPr>
        <w:instrText xml:space="preserve"> SEQ level0 \*arabic </w:instrText>
      </w:r>
      <w:r w:rsidRPr="007F3E67">
        <w:rPr>
          <w:szCs w:val="24"/>
          <w:lang w:val="fr-FR"/>
        </w:rPr>
        <w:fldChar w:fldCharType="separate"/>
      </w:r>
      <w:r w:rsidR="007F3E67" w:rsidRPr="007F3E67">
        <w:rPr>
          <w:noProof/>
          <w:szCs w:val="24"/>
          <w:lang w:val="fr-FR"/>
        </w:rPr>
        <w:t>77</w:t>
      </w:r>
      <w:r w:rsidRPr="007F3E67">
        <w:rPr>
          <w:szCs w:val="24"/>
          <w:lang w:val="fr-FR"/>
        </w:rPr>
        <w:fldChar w:fldCharType="end"/>
      </w:r>
      <w:r w:rsidRPr="007F3E67">
        <w:rPr>
          <w:szCs w:val="24"/>
          <w:lang w:val="fr-FR"/>
        </w:rPr>
        <w:t>.  Ce rapport cit</w:t>
      </w:r>
      <w:r w:rsidR="00833813" w:rsidRPr="007F3E67">
        <w:rPr>
          <w:szCs w:val="24"/>
          <w:lang w:val="fr-FR"/>
        </w:rPr>
        <w:t>ait</w:t>
      </w:r>
      <w:r w:rsidRPr="007F3E67">
        <w:rPr>
          <w:szCs w:val="24"/>
          <w:lang w:val="fr-FR"/>
        </w:rPr>
        <w:t xml:space="preserve"> les déclarations du responsable des activités de la police pénitentiaire lors du sommet</w:t>
      </w:r>
      <w:r w:rsidR="00833813" w:rsidRPr="007F3E67">
        <w:rPr>
          <w:szCs w:val="24"/>
          <w:lang w:val="fr-FR"/>
        </w:rPr>
        <w:t>,</w:t>
      </w:r>
      <w:r w:rsidRPr="007F3E67">
        <w:rPr>
          <w:szCs w:val="24"/>
          <w:lang w:val="fr-FR"/>
        </w:rPr>
        <w:t xml:space="preserve"> selon </w:t>
      </w:r>
      <w:r w:rsidR="00833813" w:rsidRPr="007F3E67">
        <w:rPr>
          <w:szCs w:val="24"/>
          <w:lang w:val="fr-FR"/>
        </w:rPr>
        <w:t xml:space="preserve">lesquelles </w:t>
      </w:r>
      <w:r w:rsidRPr="007F3E67">
        <w:rPr>
          <w:szCs w:val="24"/>
          <w:lang w:val="fr-FR"/>
        </w:rPr>
        <w:t>la décision d</w:t>
      </w:r>
      <w:r w:rsidR="007F3E67" w:rsidRPr="007F3E67">
        <w:rPr>
          <w:szCs w:val="24"/>
          <w:lang w:val="fr-FR"/>
        </w:rPr>
        <w:t>’</w:t>
      </w:r>
      <w:r w:rsidRPr="007F3E67">
        <w:rPr>
          <w:szCs w:val="24"/>
          <w:lang w:val="fr-FR"/>
        </w:rPr>
        <w:t>affecter à la police pénitentiaire et à la police judiciaire une seule et même caserne s</w:t>
      </w:r>
      <w:r w:rsidR="007F3E67" w:rsidRPr="007F3E67">
        <w:rPr>
          <w:szCs w:val="24"/>
          <w:lang w:val="fr-FR"/>
        </w:rPr>
        <w:t>’</w:t>
      </w:r>
      <w:r w:rsidRPr="007F3E67">
        <w:rPr>
          <w:szCs w:val="24"/>
          <w:lang w:val="fr-FR"/>
        </w:rPr>
        <w:t>était révélée être « un choix malheureux ».</w:t>
      </w:r>
    </w:p>
    <w:p w:rsidR="00E235F1" w:rsidRPr="007F3E67" w:rsidRDefault="00E235F1" w:rsidP="007F3E67">
      <w:pPr>
        <w:pStyle w:val="ECHRPara"/>
        <w:rPr>
          <w:szCs w:val="24"/>
          <w:lang w:val="fr-FR"/>
        </w:rPr>
      </w:pPr>
      <w:r w:rsidRPr="007F3E67">
        <w:rPr>
          <w:szCs w:val="24"/>
          <w:lang w:val="fr-FR"/>
        </w:rPr>
        <w:fldChar w:fldCharType="begin"/>
      </w:r>
      <w:r w:rsidRPr="007F3E67">
        <w:rPr>
          <w:szCs w:val="24"/>
          <w:lang w:val="fr-FR"/>
        </w:rPr>
        <w:instrText xml:space="preserve"> SEQ level0 \*arabic </w:instrText>
      </w:r>
      <w:r w:rsidRPr="007F3E67">
        <w:rPr>
          <w:szCs w:val="24"/>
          <w:lang w:val="fr-FR"/>
        </w:rPr>
        <w:fldChar w:fldCharType="separate"/>
      </w:r>
      <w:r w:rsidR="007F3E67" w:rsidRPr="007F3E67">
        <w:rPr>
          <w:noProof/>
          <w:szCs w:val="24"/>
          <w:lang w:val="fr-FR"/>
        </w:rPr>
        <w:t>78</w:t>
      </w:r>
      <w:r w:rsidRPr="007F3E67">
        <w:rPr>
          <w:szCs w:val="24"/>
          <w:lang w:val="fr-FR"/>
        </w:rPr>
        <w:fldChar w:fldCharType="end"/>
      </w:r>
      <w:r w:rsidRPr="007F3E67">
        <w:rPr>
          <w:szCs w:val="24"/>
          <w:lang w:val="fr-FR"/>
        </w:rPr>
        <w:t>.  Le rapport indiqu</w:t>
      </w:r>
      <w:r w:rsidR="00833813" w:rsidRPr="007F3E67">
        <w:rPr>
          <w:szCs w:val="24"/>
          <w:lang w:val="fr-FR"/>
        </w:rPr>
        <w:t>ait</w:t>
      </w:r>
      <w:r w:rsidRPr="007F3E67">
        <w:rPr>
          <w:szCs w:val="24"/>
          <w:lang w:val="fr-FR"/>
        </w:rPr>
        <w:t xml:space="preserve"> ensuite que, dans la nuit du 21 au 22 juillet, la durée de la détention à la caserne de Bolzaneto </w:t>
      </w:r>
      <w:r w:rsidR="00833813" w:rsidRPr="007F3E67">
        <w:rPr>
          <w:szCs w:val="24"/>
          <w:lang w:val="fr-FR"/>
        </w:rPr>
        <w:t xml:space="preserve">des personnes arrêtées </w:t>
      </w:r>
      <w:r w:rsidRPr="007F3E67">
        <w:rPr>
          <w:szCs w:val="24"/>
          <w:lang w:val="fr-FR"/>
        </w:rPr>
        <w:t xml:space="preserve">avait été excessivement </w:t>
      </w:r>
      <w:r w:rsidR="00833813" w:rsidRPr="007F3E67">
        <w:rPr>
          <w:szCs w:val="24"/>
          <w:lang w:val="fr-FR"/>
        </w:rPr>
        <w:t xml:space="preserve">longue </w:t>
      </w:r>
      <w:r w:rsidRPr="007F3E67">
        <w:rPr>
          <w:szCs w:val="24"/>
          <w:lang w:val="fr-FR"/>
        </w:rPr>
        <w:t>en raison de la fermeture de certains bureaux</w:t>
      </w:r>
      <w:r w:rsidR="00236D1E" w:rsidRPr="007F3E67">
        <w:rPr>
          <w:szCs w:val="24"/>
          <w:lang w:val="fr-FR"/>
        </w:rPr>
        <w:t>,</w:t>
      </w:r>
      <w:r w:rsidRPr="007F3E67">
        <w:rPr>
          <w:szCs w:val="24"/>
          <w:lang w:val="fr-FR"/>
        </w:rPr>
        <w:t xml:space="preserve"> qui aurait été due à l</w:t>
      </w:r>
      <w:r w:rsidR="007F3E67" w:rsidRPr="007F3E67">
        <w:rPr>
          <w:szCs w:val="24"/>
          <w:lang w:val="fr-FR"/>
        </w:rPr>
        <w:t>’</w:t>
      </w:r>
      <w:r w:rsidRPr="007F3E67">
        <w:rPr>
          <w:szCs w:val="24"/>
          <w:lang w:val="fr-FR"/>
        </w:rPr>
        <w:t>insuffisance de personnel, à l</w:t>
      </w:r>
      <w:r w:rsidR="007F3E67" w:rsidRPr="007F3E67">
        <w:rPr>
          <w:szCs w:val="24"/>
          <w:lang w:val="fr-FR"/>
        </w:rPr>
        <w:t>’</w:t>
      </w:r>
      <w:r w:rsidRPr="007F3E67">
        <w:rPr>
          <w:szCs w:val="24"/>
          <w:lang w:val="fr-FR"/>
        </w:rPr>
        <w:t>afflux de</w:t>
      </w:r>
      <w:r w:rsidR="00833813" w:rsidRPr="007F3E67">
        <w:rPr>
          <w:szCs w:val="24"/>
          <w:lang w:val="fr-FR"/>
        </w:rPr>
        <w:t>s</w:t>
      </w:r>
      <w:r w:rsidRPr="007F3E67">
        <w:rPr>
          <w:szCs w:val="24"/>
          <w:lang w:val="fr-FR"/>
        </w:rPr>
        <w:t xml:space="preserve"> personnes arrêtées dans l</w:t>
      </w:r>
      <w:r w:rsidR="007F3E67" w:rsidRPr="007F3E67">
        <w:rPr>
          <w:szCs w:val="24"/>
          <w:lang w:val="fr-FR"/>
        </w:rPr>
        <w:t>’</w:t>
      </w:r>
      <w:r w:rsidRPr="007F3E67">
        <w:rPr>
          <w:szCs w:val="24"/>
          <w:lang w:val="fr-FR"/>
        </w:rPr>
        <w:t>école Diaz-Pertini et aux modalités de transf</w:t>
      </w:r>
      <w:r w:rsidR="00833813" w:rsidRPr="007F3E67">
        <w:rPr>
          <w:szCs w:val="24"/>
          <w:lang w:val="fr-FR"/>
        </w:rPr>
        <w:t>ert</w:t>
      </w:r>
      <w:r w:rsidRPr="007F3E67">
        <w:rPr>
          <w:szCs w:val="24"/>
          <w:lang w:val="fr-FR"/>
        </w:rPr>
        <w:t xml:space="preserve"> vers les prisons </w:t>
      </w:r>
      <w:r w:rsidR="00236D1E" w:rsidRPr="007F3E67">
        <w:rPr>
          <w:szCs w:val="24"/>
          <w:lang w:val="fr-FR"/>
        </w:rPr>
        <w:t>choisies en tant que lieux de détention provisoire</w:t>
      </w:r>
      <w:r w:rsidRPr="007F3E67">
        <w:rPr>
          <w:szCs w:val="24"/>
          <w:lang w:val="fr-FR"/>
        </w:rPr>
        <w:t>. Le rapport fai</w:t>
      </w:r>
      <w:r w:rsidR="00236D1E" w:rsidRPr="007F3E67">
        <w:rPr>
          <w:szCs w:val="24"/>
          <w:lang w:val="fr-FR"/>
        </w:rPr>
        <w:t>sai</w:t>
      </w:r>
      <w:r w:rsidRPr="007F3E67">
        <w:rPr>
          <w:szCs w:val="24"/>
          <w:lang w:val="fr-FR"/>
        </w:rPr>
        <w:t xml:space="preserve">t aussi état de ce que, </w:t>
      </w:r>
      <w:r w:rsidR="00236D1E" w:rsidRPr="007F3E67">
        <w:rPr>
          <w:szCs w:val="24"/>
          <w:lang w:val="fr-FR"/>
        </w:rPr>
        <w:t xml:space="preserve">au cours de </w:t>
      </w:r>
      <w:r w:rsidRPr="007F3E67">
        <w:rPr>
          <w:szCs w:val="24"/>
          <w:lang w:val="fr-FR"/>
        </w:rPr>
        <w:t>la même nuit, entre 1 h 35 et 2 heures, le ministre de la Justice s</w:t>
      </w:r>
      <w:r w:rsidR="007F3E67" w:rsidRPr="007F3E67">
        <w:rPr>
          <w:szCs w:val="24"/>
          <w:lang w:val="fr-FR"/>
        </w:rPr>
        <w:t>’</w:t>
      </w:r>
      <w:r w:rsidRPr="007F3E67">
        <w:rPr>
          <w:szCs w:val="24"/>
          <w:lang w:val="fr-FR"/>
        </w:rPr>
        <w:t>était rendu à la caserne de Bolzaneto et avait vu dans une cellule une femme et dix hommes placés jambes écartées et face contre le mur sous la surveillance d</w:t>
      </w:r>
      <w:r w:rsidR="007F3E67" w:rsidRPr="007F3E67">
        <w:rPr>
          <w:szCs w:val="24"/>
          <w:lang w:val="fr-FR"/>
        </w:rPr>
        <w:t>’</w:t>
      </w:r>
      <w:r w:rsidRPr="007F3E67">
        <w:rPr>
          <w:szCs w:val="24"/>
          <w:lang w:val="fr-FR"/>
        </w:rPr>
        <w:t>un agent.</w:t>
      </w:r>
    </w:p>
    <w:p w:rsidR="00E235F1" w:rsidRPr="007F3E67" w:rsidRDefault="00E235F1" w:rsidP="007F3E67">
      <w:pPr>
        <w:pStyle w:val="ECHRPara"/>
        <w:rPr>
          <w:lang w:val="fr-FR"/>
        </w:rPr>
      </w:pPr>
      <w:r w:rsidRPr="007F3E67">
        <w:rPr>
          <w:lang w:val="fr-FR"/>
        </w:rPr>
        <w:fldChar w:fldCharType="begin"/>
      </w:r>
      <w:r w:rsidRPr="007F3E67">
        <w:rPr>
          <w:lang w:val="fr-FR"/>
        </w:rPr>
        <w:instrText xml:space="preserve"> SEQ level0 \*arabic </w:instrText>
      </w:r>
      <w:r w:rsidRPr="007F3E67">
        <w:rPr>
          <w:lang w:val="fr-FR"/>
        </w:rPr>
        <w:fldChar w:fldCharType="separate"/>
      </w:r>
      <w:r w:rsidR="007F3E67" w:rsidRPr="007F3E67">
        <w:rPr>
          <w:noProof/>
          <w:lang w:val="fr-FR"/>
        </w:rPr>
        <w:t>79</w:t>
      </w:r>
      <w:r w:rsidRPr="007F3E67">
        <w:rPr>
          <w:lang w:val="fr-FR"/>
        </w:rPr>
        <w:fldChar w:fldCharType="end"/>
      </w:r>
      <w:r w:rsidRPr="007F3E67">
        <w:rPr>
          <w:lang w:val="fr-FR"/>
        </w:rPr>
        <w:t>.  Le rapport mentionn</w:t>
      </w:r>
      <w:r w:rsidR="00F10BC8" w:rsidRPr="007F3E67">
        <w:rPr>
          <w:lang w:val="fr-FR"/>
        </w:rPr>
        <w:t>ait</w:t>
      </w:r>
      <w:r w:rsidRPr="007F3E67">
        <w:rPr>
          <w:lang w:val="fr-FR"/>
        </w:rPr>
        <w:t xml:space="preserve"> en outre l</w:t>
      </w:r>
      <w:r w:rsidR="007F3E67" w:rsidRPr="007F3E67">
        <w:rPr>
          <w:lang w:val="fr-FR"/>
        </w:rPr>
        <w:t>’</w:t>
      </w:r>
      <w:r w:rsidRPr="007F3E67">
        <w:rPr>
          <w:lang w:val="fr-FR"/>
        </w:rPr>
        <w:t xml:space="preserve">existence de deux enquêtes administratives </w:t>
      </w:r>
      <w:r w:rsidR="00467B79" w:rsidRPr="007F3E67">
        <w:rPr>
          <w:lang w:val="fr-FR"/>
        </w:rPr>
        <w:t>relatives aux faits survenus</w:t>
      </w:r>
      <w:r w:rsidRPr="007F3E67">
        <w:rPr>
          <w:lang w:val="fr-FR"/>
        </w:rPr>
        <w:t xml:space="preserve"> </w:t>
      </w:r>
      <w:r w:rsidR="00467B79" w:rsidRPr="007F3E67">
        <w:rPr>
          <w:lang w:val="fr-FR"/>
        </w:rPr>
        <w:t xml:space="preserve">à </w:t>
      </w:r>
      <w:r w:rsidRPr="007F3E67">
        <w:rPr>
          <w:lang w:val="fr-FR"/>
        </w:rPr>
        <w:t>la caserne de Bolzaneto</w:t>
      </w:r>
      <w:r w:rsidR="00467B79" w:rsidRPr="007F3E67">
        <w:rPr>
          <w:lang w:val="fr-FR"/>
        </w:rPr>
        <w:t>, engagées</w:t>
      </w:r>
      <w:r w:rsidRPr="007F3E67">
        <w:rPr>
          <w:lang w:val="fr-FR"/>
        </w:rPr>
        <w:t xml:space="preserve"> à l</w:t>
      </w:r>
      <w:r w:rsidR="007F3E67" w:rsidRPr="007F3E67">
        <w:rPr>
          <w:lang w:val="fr-FR"/>
        </w:rPr>
        <w:t>’</w:t>
      </w:r>
      <w:r w:rsidRPr="007F3E67">
        <w:rPr>
          <w:lang w:val="fr-FR"/>
        </w:rPr>
        <w:t>initiative du chef de la police et du ministre de la Justice. Le rapport provisoire de la deuxième enquête fai</w:t>
      </w:r>
      <w:r w:rsidR="00F10BC8" w:rsidRPr="007F3E67">
        <w:rPr>
          <w:lang w:val="fr-FR"/>
        </w:rPr>
        <w:t>sai</w:t>
      </w:r>
      <w:r w:rsidRPr="007F3E67">
        <w:rPr>
          <w:lang w:val="fr-FR"/>
        </w:rPr>
        <w:t xml:space="preserve">t état de onze cas de violences dénoncés par la presse ou </w:t>
      </w:r>
      <w:r w:rsidR="003539A0" w:rsidRPr="007F3E67">
        <w:rPr>
          <w:lang w:val="fr-FR"/>
        </w:rPr>
        <w:t>par l</w:t>
      </w:r>
      <w:r w:rsidRPr="007F3E67">
        <w:rPr>
          <w:lang w:val="fr-FR"/>
        </w:rPr>
        <w:t>es victimes</w:t>
      </w:r>
      <w:r w:rsidR="00F10BC8" w:rsidRPr="007F3E67">
        <w:rPr>
          <w:lang w:val="fr-FR"/>
        </w:rPr>
        <w:t xml:space="preserve"> elles-mêmes</w:t>
      </w:r>
      <w:r w:rsidRPr="007F3E67">
        <w:rPr>
          <w:lang w:val="fr-FR"/>
        </w:rPr>
        <w:t xml:space="preserve"> ainsi que d</w:t>
      </w:r>
      <w:r w:rsidR="007F3E67" w:rsidRPr="007F3E67">
        <w:rPr>
          <w:lang w:val="fr-FR"/>
        </w:rPr>
        <w:t>’</w:t>
      </w:r>
      <w:r w:rsidRPr="007F3E67">
        <w:rPr>
          <w:lang w:val="fr-FR"/>
        </w:rPr>
        <w:t xml:space="preserve">autres vexations </w:t>
      </w:r>
      <w:r w:rsidR="00F10BC8" w:rsidRPr="007F3E67">
        <w:rPr>
          <w:lang w:val="fr-FR"/>
        </w:rPr>
        <w:t xml:space="preserve">signalées </w:t>
      </w:r>
      <w:r w:rsidRPr="007F3E67">
        <w:rPr>
          <w:lang w:val="fr-FR"/>
        </w:rPr>
        <w:t>par un infirmier.</w:t>
      </w:r>
    </w:p>
    <w:p w:rsidR="00E235F1" w:rsidRPr="007F3E67" w:rsidRDefault="00E235F1" w:rsidP="007F3E67">
      <w:pPr>
        <w:pStyle w:val="ECHRPara"/>
        <w:rPr>
          <w:lang w:val="fr-FR"/>
        </w:rPr>
      </w:pPr>
      <w:r w:rsidRPr="007F3E67">
        <w:rPr>
          <w:lang w:val="fr-FR"/>
        </w:rPr>
        <w:fldChar w:fldCharType="begin"/>
      </w:r>
      <w:r w:rsidRPr="007F3E67">
        <w:rPr>
          <w:lang w:val="fr-FR"/>
        </w:rPr>
        <w:instrText xml:space="preserve"> SEQ level0 \*arabic </w:instrText>
      </w:r>
      <w:r w:rsidRPr="007F3E67">
        <w:rPr>
          <w:lang w:val="fr-FR"/>
        </w:rPr>
        <w:fldChar w:fldCharType="separate"/>
      </w:r>
      <w:r w:rsidR="007F3E67" w:rsidRPr="007F3E67">
        <w:rPr>
          <w:noProof/>
          <w:lang w:val="fr-FR"/>
        </w:rPr>
        <w:t>80</w:t>
      </w:r>
      <w:r w:rsidRPr="007F3E67">
        <w:rPr>
          <w:lang w:val="fr-FR"/>
        </w:rPr>
        <w:fldChar w:fldCharType="end"/>
      </w:r>
      <w:r w:rsidRPr="007F3E67">
        <w:rPr>
          <w:lang w:val="fr-FR"/>
        </w:rPr>
        <w:t xml:space="preserve">.  Le rapport </w:t>
      </w:r>
      <w:r w:rsidR="00F10BC8" w:rsidRPr="007F3E67">
        <w:rPr>
          <w:lang w:val="fr-FR"/>
        </w:rPr>
        <w:t xml:space="preserve">indiquait </w:t>
      </w:r>
      <w:r w:rsidRPr="007F3E67">
        <w:rPr>
          <w:lang w:val="fr-FR"/>
        </w:rPr>
        <w:t>enfin que, d</w:t>
      </w:r>
      <w:r w:rsidR="007F3E67" w:rsidRPr="007F3E67">
        <w:rPr>
          <w:lang w:val="fr-FR"/>
        </w:rPr>
        <w:t>’</w:t>
      </w:r>
      <w:r w:rsidRPr="007F3E67">
        <w:rPr>
          <w:lang w:val="fr-FR"/>
        </w:rPr>
        <w:t>après le préfet de police F., entendu par la commission parlementaire, certaines déclarations faites à la presse ou aux enquêteurs par les victimes s</w:t>
      </w:r>
      <w:r w:rsidR="007F3E67" w:rsidRPr="007F3E67">
        <w:rPr>
          <w:lang w:val="fr-FR"/>
        </w:rPr>
        <w:t>’</w:t>
      </w:r>
      <w:r w:rsidRPr="007F3E67">
        <w:rPr>
          <w:lang w:val="fr-FR"/>
        </w:rPr>
        <w:t>étaient révélées fausses et infondées. Le rapport conclu</w:t>
      </w:r>
      <w:r w:rsidR="00F10BC8" w:rsidRPr="007F3E67">
        <w:rPr>
          <w:lang w:val="fr-FR"/>
        </w:rPr>
        <w:t>ai</w:t>
      </w:r>
      <w:r w:rsidRPr="007F3E67">
        <w:rPr>
          <w:lang w:val="fr-FR"/>
        </w:rPr>
        <w:t>t toutefois que le préfet F. n</w:t>
      </w:r>
      <w:r w:rsidR="007F3E67" w:rsidRPr="007F3E67">
        <w:rPr>
          <w:lang w:val="fr-FR"/>
        </w:rPr>
        <w:t>’</w:t>
      </w:r>
      <w:r w:rsidRPr="007F3E67">
        <w:rPr>
          <w:lang w:val="fr-FR"/>
        </w:rPr>
        <w:t>a</w:t>
      </w:r>
      <w:r w:rsidR="00F10BC8" w:rsidRPr="007F3E67">
        <w:rPr>
          <w:lang w:val="fr-FR"/>
        </w:rPr>
        <w:t>vait</w:t>
      </w:r>
      <w:r w:rsidRPr="007F3E67">
        <w:rPr>
          <w:lang w:val="fr-FR"/>
        </w:rPr>
        <w:t xml:space="preserve"> pas précisé à quel lieu de triage (Forte San Giuliano, Bolzaneto ou les deux) se référaient ses observations.</w:t>
      </w:r>
    </w:p>
    <w:p w:rsidR="00E77CB3" w:rsidRPr="007F3E67" w:rsidRDefault="00E77CB3" w:rsidP="007F3E67">
      <w:pPr>
        <w:pStyle w:val="ECHRHeading1"/>
        <w:rPr>
          <w:lang w:val="fr-FR"/>
        </w:rPr>
      </w:pPr>
      <w:r w:rsidRPr="007F3E67">
        <w:rPr>
          <w:lang w:val="fr-FR"/>
        </w:rPr>
        <w:lastRenderedPageBreak/>
        <w:t>II.  LE DROIT ET LA PRATIQUE INTERNES PERTINENTS</w:t>
      </w:r>
    </w:p>
    <w:p w:rsidR="002C3CBB" w:rsidRPr="007F3E67" w:rsidRDefault="00315704" w:rsidP="007F3E67">
      <w:pPr>
        <w:pStyle w:val="ECHRPara"/>
        <w:rPr>
          <w:lang w:val="fr-FR"/>
        </w:rPr>
      </w:pPr>
      <w:r w:rsidRPr="007F3E67">
        <w:rPr>
          <w:lang w:val="fr-FR"/>
        </w:rPr>
        <w:fldChar w:fldCharType="begin"/>
      </w:r>
      <w:r w:rsidRPr="007F3E67">
        <w:rPr>
          <w:lang w:val="fr-FR"/>
        </w:rPr>
        <w:instrText xml:space="preserve"> SEQ level0 \*arabic </w:instrText>
      </w:r>
      <w:r w:rsidRPr="007F3E67">
        <w:rPr>
          <w:lang w:val="fr-FR"/>
        </w:rPr>
        <w:fldChar w:fldCharType="separate"/>
      </w:r>
      <w:r w:rsidR="007F3E67" w:rsidRPr="007F3E67">
        <w:rPr>
          <w:noProof/>
          <w:lang w:val="fr-FR"/>
        </w:rPr>
        <w:t>81</w:t>
      </w:r>
      <w:r w:rsidRPr="007F3E67">
        <w:rPr>
          <w:lang w:val="fr-FR"/>
        </w:rPr>
        <w:fldChar w:fldCharType="end"/>
      </w:r>
      <w:r w:rsidRPr="007F3E67">
        <w:rPr>
          <w:lang w:val="fr-FR"/>
        </w:rPr>
        <w:t>.  Pour ce qui est du droit et de la pratique internes pertinents dans les présentes affaires, la Cour renvoie à l</w:t>
      </w:r>
      <w:r w:rsidR="007F3E67" w:rsidRPr="007F3E67">
        <w:rPr>
          <w:lang w:val="fr-FR"/>
        </w:rPr>
        <w:t>’</w:t>
      </w:r>
      <w:r w:rsidRPr="007F3E67">
        <w:rPr>
          <w:lang w:val="fr-FR"/>
        </w:rPr>
        <w:t xml:space="preserve">arrêt </w:t>
      </w:r>
      <w:r w:rsidRPr="007F3E67">
        <w:rPr>
          <w:i/>
          <w:iCs/>
          <w:lang w:val="fr-FR"/>
        </w:rPr>
        <w:t>Cestaro</w:t>
      </w:r>
      <w:r w:rsidRPr="007F3E67">
        <w:rPr>
          <w:iCs/>
          <w:lang w:val="fr-FR"/>
        </w:rPr>
        <w:t xml:space="preserve"> (précité, §§</w:t>
      </w:r>
      <w:r w:rsidRPr="007F3E67">
        <w:rPr>
          <w:lang w:val="fr-FR"/>
        </w:rPr>
        <w:t> 87-</w:t>
      </w:r>
      <w:r w:rsidR="003333B1" w:rsidRPr="007F3E67">
        <w:rPr>
          <w:lang w:val="fr-FR"/>
        </w:rPr>
        <w:t>106</w:t>
      </w:r>
      <w:r w:rsidRPr="007F3E67">
        <w:rPr>
          <w:lang w:val="fr-FR"/>
        </w:rPr>
        <w:t>).</w:t>
      </w:r>
    </w:p>
    <w:bookmarkStart w:id="13" w:name="Proposition_Loi"/>
    <w:p w:rsidR="005B1238" w:rsidRPr="007F3E67" w:rsidRDefault="002C3CBB" w:rsidP="007F3E67">
      <w:pPr>
        <w:pStyle w:val="ECHRPara"/>
        <w:rPr>
          <w:rFonts w:ascii="Times New Roman" w:hAnsi="Times New Roman" w:cs="Times New Roman"/>
          <w:color w:val="000000"/>
          <w:lang w:val="fr-FR"/>
        </w:rPr>
      </w:pPr>
      <w:r w:rsidRPr="007F3E67">
        <w:rPr>
          <w:lang w:val="fr-FR"/>
        </w:rPr>
        <w:fldChar w:fldCharType="begin"/>
      </w:r>
      <w:r w:rsidRPr="007F3E67">
        <w:rPr>
          <w:lang w:val="fr-FR"/>
        </w:rPr>
        <w:instrText xml:space="preserve"> SEQ level0 \*arabic </w:instrText>
      </w:r>
      <w:r w:rsidRPr="007F3E67">
        <w:rPr>
          <w:lang w:val="fr-FR"/>
        </w:rPr>
        <w:fldChar w:fldCharType="separate"/>
      </w:r>
      <w:r w:rsidR="007F3E67" w:rsidRPr="007F3E67">
        <w:rPr>
          <w:noProof/>
          <w:lang w:val="fr-FR"/>
        </w:rPr>
        <w:t>82</w:t>
      </w:r>
      <w:r w:rsidRPr="007F3E67">
        <w:rPr>
          <w:lang w:val="fr-FR"/>
        </w:rPr>
        <w:fldChar w:fldCharType="end"/>
      </w:r>
      <w:bookmarkEnd w:id="13"/>
      <w:r w:rsidRPr="007F3E67">
        <w:rPr>
          <w:lang w:val="fr-FR"/>
        </w:rPr>
        <w:t>.  </w:t>
      </w:r>
      <w:r w:rsidR="00FA29F8" w:rsidRPr="007F3E67">
        <w:rPr>
          <w:lang w:val="fr-FR"/>
        </w:rPr>
        <w:t xml:space="preserve">La </w:t>
      </w:r>
      <w:r w:rsidR="00A259CA" w:rsidRPr="007F3E67">
        <w:rPr>
          <w:rFonts w:ascii="Times New Roman" w:hAnsi="Times New Roman" w:cs="Times New Roman"/>
          <w:color w:val="000000"/>
          <w:lang w:val="fr-FR"/>
        </w:rPr>
        <w:t>proposition de loi visant à sanctionner la torture et les mauvais traitements</w:t>
      </w:r>
      <w:r w:rsidR="0028265B" w:rsidRPr="007F3E67">
        <w:rPr>
          <w:rFonts w:ascii="Times New Roman" w:hAnsi="Times New Roman" w:cs="Times New Roman"/>
          <w:color w:val="000000"/>
          <w:lang w:val="fr-FR"/>
        </w:rPr>
        <w:t xml:space="preserve">, </w:t>
      </w:r>
      <w:r w:rsidR="00C1552F" w:rsidRPr="007F3E67">
        <w:rPr>
          <w:rFonts w:ascii="Times New Roman" w:hAnsi="Times New Roman" w:cs="Times New Roman"/>
          <w:color w:val="000000"/>
          <w:lang w:val="fr-FR"/>
        </w:rPr>
        <w:t xml:space="preserve">intitulée </w:t>
      </w:r>
      <w:r w:rsidR="0028265B" w:rsidRPr="007F3E67">
        <w:rPr>
          <w:rFonts w:ascii="Times New Roman" w:hAnsi="Times New Roman" w:cs="Times New Roman"/>
          <w:color w:val="000000"/>
          <w:lang w:val="fr-FR"/>
        </w:rPr>
        <w:t>« Introduction du délit de torture dans l</w:t>
      </w:r>
      <w:r w:rsidR="007F3E67" w:rsidRPr="007F3E67">
        <w:rPr>
          <w:rFonts w:ascii="Times New Roman" w:hAnsi="Times New Roman" w:cs="Times New Roman"/>
          <w:color w:val="000000"/>
          <w:lang w:val="fr-FR"/>
        </w:rPr>
        <w:t>’</w:t>
      </w:r>
      <w:r w:rsidR="0028265B" w:rsidRPr="007F3E67">
        <w:rPr>
          <w:rFonts w:ascii="Times New Roman" w:hAnsi="Times New Roman" w:cs="Times New Roman"/>
          <w:color w:val="000000"/>
          <w:lang w:val="fr-FR"/>
        </w:rPr>
        <w:t>ordre juridique italien » (</w:t>
      </w:r>
      <w:r w:rsidR="0028265B" w:rsidRPr="007F3E67">
        <w:rPr>
          <w:rFonts w:ascii="Times New Roman" w:hAnsi="Times New Roman" w:cs="Times New Roman"/>
          <w:i/>
          <w:color w:val="000000"/>
          <w:lang w:val="fr-FR"/>
        </w:rPr>
        <w:t>introduzione del delitto di tortura nell</w:t>
      </w:r>
      <w:r w:rsidR="007F3E67" w:rsidRPr="007F3E67">
        <w:rPr>
          <w:rFonts w:ascii="Times New Roman" w:hAnsi="Times New Roman" w:cs="Times New Roman"/>
          <w:i/>
          <w:color w:val="000000"/>
          <w:lang w:val="fr-FR"/>
        </w:rPr>
        <w:t>’</w:t>
      </w:r>
      <w:r w:rsidR="0028265B" w:rsidRPr="007F3E67">
        <w:rPr>
          <w:rFonts w:ascii="Times New Roman" w:hAnsi="Times New Roman" w:cs="Times New Roman"/>
          <w:i/>
          <w:color w:val="000000"/>
          <w:lang w:val="fr-FR"/>
        </w:rPr>
        <w:t>ordinamento italiano</w:t>
      </w:r>
      <w:r w:rsidR="00C1552F" w:rsidRPr="007F3E67">
        <w:rPr>
          <w:rFonts w:ascii="Times New Roman" w:hAnsi="Times New Roman" w:cs="Times New Roman"/>
          <w:color w:val="000000"/>
          <w:lang w:val="fr-FR"/>
        </w:rPr>
        <w:t>)</w:t>
      </w:r>
      <w:r w:rsidR="00FF4DD3" w:rsidRPr="007F3E67">
        <w:rPr>
          <w:rFonts w:ascii="Times New Roman" w:hAnsi="Times New Roman" w:cs="Times New Roman"/>
          <w:color w:val="000000"/>
          <w:lang w:val="fr-FR"/>
        </w:rPr>
        <w:t xml:space="preserve">, </w:t>
      </w:r>
      <w:r w:rsidR="0028265B" w:rsidRPr="007F3E67">
        <w:rPr>
          <w:rFonts w:ascii="Times New Roman" w:hAnsi="Times New Roman" w:cs="Times New Roman"/>
          <w:color w:val="000000"/>
          <w:lang w:val="fr-FR"/>
        </w:rPr>
        <w:t xml:space="preserve">Sénat de la République S-849, </w:t>
      </w:r>
      <w:r w:rsidR="00A259CA" w:rsidRPr="007F3E67">
        <w:rPr>
          <w:rFonts w:ascii="Times New Roman" w:hAnsi="Times New Roman" w:cs="Times New Roman"/>
          <w:color w:val="000000"/>
          <w:lang w:val="fr-FR"/>
        </w:rPr>
        <w:t>a été votée par le Sénat de la République italienne le 5</w:t>
      </w:r>
      <w:r w:rsidR="00836F9C" w:rsidRPr="007F3E67">
        <w:rPr>
          <w:rFonts w:ascii="Times New Roman" w:hAnsi="Times New Roman" w:cs="Times New Roman"/>
          <w:color w:val="000000"/>
          <w:lang w:val="fr-FR"/>
        </w:rPr>
        <w:t> </w:t>
      </w:r>
      <w:r w:rsidR="00A259CA" w:rsidRPr="007F3E67">
        <w:rPr>
          <w:rFonts w:ascii="Times New Roman" w:hAnsi="Times New Roman" w:cs="Times New Roman"/>
          <w:color w:val="000000"/>
          <w:lang w:val="fr-FR"/>
        </w:rPr>
        <w:t>mars</w:t>
      </w:r>
      <w:r w:rsidR="007F3E67" w:rsidRPr="007F3E67">
        <w:rPr>
          <w:rFonts w:ascii="Times New Roman" w:hAnsi="Times New Roman" w:cs="Times New Roman"/>
          <w:color w:val="000000"/>
          <w:lang w:val="fr-FR"/>
        </w:rPr>
        <w:t xml:space="preserve"> </w:t>
      </w:r>
      <w:r w:rsidR="00A259CA" w:rsidRPr="007F3E67">
        <w:rPr>
          <w:rFonts w:ascii="Times New Roman" w:hAnsi="Times New Roman" w:cs="Times New Roman"/>
          <w:color w:val="000000"/>
          <w:lang w:val="fr-FR"/>
        </w:rPr>
        <w:t>2014</w:t>
      </w:r>
      <w:r w:rsidR="0028265B" w:rsidRPr="007F3E67">
        <w:rPr>
          <w:rFonts w:ascii="Times New Roman" w:hAnsi="Times New Roman" w:cs="Times New Roman"/>
          <w:color w:val="000000"/>
          <w:lang w:val="fr-FR"/>
        </w:rPr>
        <w:t>,</w:t>
      </w:r>
      <w:r w:rsidR="00A259CA" w:rsidRPr="007F3E67">
        <w:rPr>
          <w:rFonts w:ascii="Times New Roman" w:hAnsi="Times New Roman" w:cs="Times New Roman"/>
          <w:color w:val="000000"/>
          <w:lang w:val="fr-FR"/>
        </w:rPr>
        <w:t xml:space="preserve"> puis </w:t>
      </w:r>
      <w:r w:rsidR="00FC06C7" w:rsidRPr="007F3E67">
        <w:rPr>
          <w:rFonts w:ascii="Times New Roman" w:hAnsi="Times New Roman" w:cs="Times New Roman"/>
          <w:color w:val="000000"/>
          <w:lang w:val="fr-FR"/>
        </w:rPr>
        <w:t>transmise</w:t>
      </w:r>
      <w:r w:rsidR="00A259CA" w:rsidRPr="007F3E67">
        <w:rPr>
          <w:rFonts w:ascii="Times New Roman" w:hAnsi="Times New Roman" w:cs="Times New Roman"/>
          <w:color w:val="000000"/>
          <w:lang w:val="fr-FR"/>
        </w:rPr>
        <w:t xml:space="preserve"> à la Chambre des députés</w:t>
      </w:r>
      <w:r w:rsidR="00EC24C7" w:rsidRPr="007F3E67">
        <w:rPr>
          <w:rFonts w:ascii="Times New Roman" w:hAnsi="Times New Roman" w:cs="Times New Roman"/>
          <w:color w:val="000000"/>
          <w:lang w:val="fr-FR"/>
        </w:rPr>
        <w:t xml:space="preserve"> qui a </w:t>
      </w:r>
      <w:r w:rsidR="00A259CA" w:rsidRPr="007F3E67">
        <w:rPr>
          <w:rFonts w:ascii="Times New Roman" w:hAnsi="Times New Roman" w:cs="Times New Roman"/>
          <w:color w:val="000000"/>
          <w:lang w:val="fr-FR"/>
        </w:rPr>
        <w:t xml:space="preserve">modifié le texte et envoyé la nouvelle </w:t>
      </w:r>
      <w:r w:rsidR="00FC06C7" w:rsidRPr="007F3E67">
        <w:rPr>
          <w:rFonts w:ascii="Times New Roman" w:hAnsi="Times New Roman" w:cs="Times New Roman"/>
          <w:color w:val="000000"/>
          <w:lang w:val="fr-FR"/>
        </w:rPr>
        <w:t>version</w:t>
      </w:r>
      <w:r w:rsidR="00A259CA" w:rsidRPr="007F3E67">
        <w:rPr>
          <w:rFonts w:ascii="Times New Roman" w:hAnsi="Times New Roman" w:cs="Times New Roman"/>
          <w:color w:val="000000"/>
          <w:lang w:val="fr-FR"/>
        </w:rPr>
        <w:t xml:space="preserve"> au Sénat le 13 avril 2015. </w:t>
      </w:r>
      <w:r w:rsidR="003539A0" w:rsidRPr="007F3E67">
        <w:rPr>
          <w:rFonts w:ascii="Times New Roman" w:hAnsi="Times New Roman" w:cs="Times New Roman"/>
          <w:color w:val="000000"/>
          <w:lang w:val="fr-FR"/>
        </w:rPr>
        <w:t xml:space="preserve">Le 17 mai 2017, </w:t>
      </w:r>
      <w:r w:rsidR="004011BB" w:rsidRPr="007F3E67">
        <w:rPr>
          <w:rFonts w:ascii="Times New Roman" w:hAnsi="Times New Roman" w:cs="Times New Roman"/>
          <w:color w:val="000000"/>
          <w:lang w:val="fr-FR"/>
        </w:rPr>
        <w:t xml:space="preserve">le Sénat a </w:t>
      </w:r>
      <w:r w:rsidR="00FC06C7" w:rsidRPr="007F3E67">
        <w:rPr>
          <w:rFonts w:ascii="Times New Roman" w:hAnsi="Times New Roman" w:cs="Times New Roman"/>
          <w:color w:val="000000"/>
          <w:lang w:val="fr-FR"/>
        </w:rPr>
        <w:t>adopté des amendements à</w:t>
      </w:r>
      <w:r w:rsidR="001B1D31" w:rsidRPr="007F3E67">
        <w:rPr>
          <w:rFonts w:ascii="Times New Roman" w:hAnsi="Times New Roman" w:cs="Times New Roman"/>
          <w:color w:val="000000"/>
          <w:lang w:val="fr-FR"/>
        </w:rPr>
        <w:t xml:space="preserve"> la proposition de</w:t>
      </w:r>
      <w:r w:rsidR="004011BB" w:rsidRPr="007F3E67">
        <w:rPr>
          <w:rFonts w:ascii="Times New Roman" w:hAnsi="Times New Roman" w:cs="Times New Roman"/>
          <w:color w:val="000000"/>
          <w:lang w:val="fr-FR"/>
        </w:rPr>
        <w:t xml:space="preserve"> loi</w:t>
      </w:r>
      <w:r w:rsidR="001B1D31" w:rsidRPr="007F3E67">
        <w:rPr>
          <w:rFonts w:ascii="Times New Roman" w:hAnsi="Times New Roman" w:cs="Times New Roman"/>
          <w:color w:val="000000"/>
          <w:lang w:val="fr-FR"/>
        </w:rPr>
        <w:t xml:space="preserve"> et</w:t>
      </w:r>
      <w:r w:rsidR="004011BB" w:rsidRPr="007F3E67">
        <w:rPr>
          <w:rFonts w:ascii="Times New Roman" w:hAnsi="Times New Roman" w:cs="Times New Roman"/>
          <w:color w:val="000000"/>
          <w:lang w:val="fr-FR"/>
        </w:rPr>
        <w:t xml:space="preserve"> </w:t>
      </w:r>
      <w:r w:rsidR="001B1D31" w:rsidRPr="007F3E67">
        <w:rPr>
          <w:rFonts w:ascii="Times New Roman" w:hAnsi="Times New Roman" w:cs="Times New Roman"/>
          <w:color w:val="000000"/>
          <w:lang w:val="fr-FR"/>
        </w:rPr>
        <w:t>communiqué le nouveau texte</w:t>
      </w:r>
      <w:r w:rsidR="004011BB" w:rsidRPr="007F3E67">
        <w:rPr>
          <w:rFonts w:ascii="Times New Roman" w:hAnsi="Times New Roman" w:cs="Times New Roman"/>
          <w:color w:val="000000"/>
          <w:lang w:val="fr-FR"/>
        </w:rPr>
        <w:t xml:space="preserve"> à la Chambre des députés.</w:t>
      </w:r>
      <w:r w:rsidR="00FA29F8" w:rsidRPr="007F3E67">
        <w:rPr>
          <w:rFonts w:ascii="Times New Roman" w:hAnsi="Times New Roman" w:cs="Times New Roman"/>
          <w:color w:val="000000"/>
          <w:lang w:val="fr-FR"/>
        </w:rPr>
        <w:t xml:space="preserve"> Le 5 juillet 2017, la Chambre des députés a </w:t>
      </w:r>
      <w:r w:rsidR="00EC24C7" w:rsidRPr="007F3E67">
        <w:rPr>
          <w:rFonts w:ascii="Times New Roman" w:hAnsi="Times New Roman" w:cs="Times New Roman"/>
          <w:color w:val="000000"/>
          <w:lang w:val="fr-FR"/>
        </w:rPr>
        <w:t>définitivement adopté le texte</w:t>
      </w:r>
      <w:r w:rsidR="003C390A" w:rsidRPr="007F3E67">
        <w:rPr>
          <w:rFonts w:ascii="Times New Roman" w:hAnsi="Times New Roman" w:cs="Times New Roman"/>
          <w:color w:val="000000"/>
          <w:lang w:val="fr-FR"/>
        </w:rPr>
        <w:t>.</w:t>
      </w:r>
    </w:p>
    <w:p w:rsidR="001B1D31" w:rsidRPr="007F3E67" w:rsidRDefault="00EC7C33" w:rsidP="007F3E67">
      <w:pPr>
        <w:pStyle w:val="ECHRPara"/>
        <w:rPr>
          <w:rFonts w:ascii="Times New Roman" w:hAnsi="Times New Roman" w:cs="Times New Roman"/>
          <w:color w:val="000000"/>
          <w:lang w:val="fr-FR"/>
        </w:rPr>
      </w:pPr>
      <w:r w:rsidRPr="007F3E67">
        <w:rPr>
          <w:rFonts w:ascii="Times New Roman" w:hAnsi="Times New Roman" w:cs="Times New Roman"/>
          <w:color w:val="000000"/>
          <w:lang w:val="fr-FR"/>
        </w:rPr>
        <w:t>La loi</w:t>
      </w:r>
      <w:r w:rsidR="002A4D07" w:rsidRPr="007F3E67">
        <w:rPr>
          <w:rFonts w:ascii="Times New Roman" w:hAnsi="Times New Roman" w:cs="Times New Roman"/>
          <w:color w:val="000000"/>
          <w:lang w:val="fr-FR"/>
        </w:rPr>
        <w:t xml:space="preserve"> n</w:t>
      </w:r>
      <w:r w:rsidR="005B1238" w:rsidRPr="007F3E67">
        <w:rPr>
          <w:rFonts w:ascii="Times New Roman" w:hAnsi="Times New Roman" w:cs="Times New Roman"/>
          <w:color w:val="000000"/>
          <w:vertAlign w:val="superscript"/>
          <w:lang w:val="fr-FR"/>
        </w:rPr>
        <w:t>o</w:t>
      </w:r>
      <w:r w:rsidR="002A4D07" w:rsidRPr="007F3E67">
        <w:rPr>
          <w:rFonts w:ascii="Times New Roman" w:hAnsi="Times New Roman" w:cs="Times New Roman"/>
          <w:color w:val="000000"/>
          <w:lang w:val="fr-FR"/>
        </w:rPr>
        <w:t>110 du 14 juillet 2017</w:t>
      </w:r>
      <w:r w:rsidR="00FA14C8" w:rsidRPr="007F3E67">
        <w:rPr>
          <w:rFonts w:ascii="Times New Roman" w:hAnsi="Times New Roman" w:cs="Times New Roman"/>
          <w:color w:val="000000"/>
          <w:lang w:val="fr-FR"/>
        </w:rPr>
        <w:t>, intitulée « Introduction du délit de torture dans l</w:t>
      </w:r>
      <w:r w:rsidR="007F3E67" w:rsidRPr="007F3E67">
        <w:rPr>
          <w:rFonts w:ascii="Times New Roman" w:hAnsi="Times New Roman" w:cs="Times New Roman"/>
          <w:color w:val="000000"/>
          <w:lang w:val="fr-FR"/>
        </w:rPr>
        <w:t>’</w:t>
      </w:r>
      <w:r w:rsidR="00FA14C8" w:rsidRPr="007F3E67">
        <w:rPr>
          <w:rFonts w:ascii="Times New Roman" w:hAnsi="Times New Roman" w:cs="Times New Roman"/>
          <w:color w:val="000000"/>
          <w:lang w:val="fr-FR"/>
        </w:rPr>
        <w:t>ordre juridique italien (</w:t>
      </w:r>
      <w:r w:rsidR="00FA14C8" w:rsidRPr="007F3E67">
        <w:rPr>
          <w:rFonts w:ascii="Times New Roman" w:hAnsi="Times New Roman" w:cs="Times New Roman"/>
          <w:i/>
          <w:color w:val="000000"/>
          <w:lang w:val="fr-FR"/>
        </w:rPr>
        <w:t>Introduzione del delitto di tortura nell</w:t>
      </w:r>
      <w:r w:rsidR="007F3E67" w:rsidRPr="007F3E67">
        <w:rPr>
          <w:rFonts w:ascii="Times New Roman" w:hAnsi="Times New Roman" w:cs="Times New Roman"/>
          <w:i/>
          <w:color w:val="000000"/>
          <w:lang w:val="fr-FR"/>
        </w:rPr>
        <w:t>’</w:t>
      </w:r>
      <w:r w:rsidR="00FA14C8" w:rsidRPr="007F3E67">
        <w:rPr>
          <w:rFonts w:ascii="Times New Roman" w:hAnsi="Times New Roman" w:cs="Times New Roman"/>
          <w:i/>
          <w:color w:val="000000"/>
          <w:lang w:val="fr-FR"/>
        </w:rPr>
        <w:t>ordinamento italiano</w:t>
      </w:r>
      <w:r w:rsidR="00FA14C8" w:rsidRPr="007F3E67">
        <w:rPr>
          <w:rFonts w:ascii="Times New Roman" w:hAnsi="Times New Roman" w:cs="Times New Roman"/>
          <w:color w:val="000000"/>
          <w:lang w:val="fr-FR"/>
        </w:rPr>
        <w:t>)</w:t>
      </w:r>
      <w:r w:rsidRPr="007F3E67">
        <w:rPr>
          <w:rFonts w:ascii="Times New Roman" w:hAnsi="Times New Roman" w:cs="Times New Roman"/>
          <w:color w:val="000000"/>
          <w:lang w:val="fr-FR"/>
        </w:rPr>
        <w:t xml:space="preserve"> a été publiée au Journal officiel</w:t>
      </w:r>
      <w:r w:rsidR="002A4D07" w:rsidRPr="007F3E67">
        <w:rPr>
          <w:rFonts w:ascii="Times New Roman" w:hAnsi="Times New Roman" w:cs="Times New Roman"/>
          <w:color w:val="000000"/>
          <w:lang w:val="fr-FR"/>
        </w:rPr>
        <w:t xml:space="preserve"> (</w:t>
      </w:r>
      <w:r w:rsidR="002A4D07" w:rsidRPr="007F3E67">
        <w:rPr>
          <w:rFonts w:ascii="Times New Roman" w:hAnsi="Times New Roman" w:cs="Times New Roman"/>
          <w:i/>
          <w:color w:val="000000"/>
          <w:lang w:val="fr-FR"/>
        </w:rPr>
        <w:t>Gazzetta ufficiale</w:t>
      </w:r>
      <w:r w:rsidR="002A4D07" w:rsidRPr="007F3E67">
        <w:rPr>
          <w:rFonts w:ascii="Times New Roman" w:hAnsi="Times New Roman" w:cs="Times New Roman"/>
          <w:color w:val="000000"/>
          <w:lang w:val="fr-FR"/>
        </w:rPr>
        <w:t>)</w:t>
      </w:r>
      <w:r w:rsidRPr="007F3E67">
        <w:rPr>
          <w:rFonts w:ascii="Times New Roman" w:hAnsi="Times New Roman" w:cs="Times New Roman"/>
          <w:color w:val="000000"/>
          <w:lang w:val="fr-FR"/>
        </w:rPr>
        <w:t xml:space="preserve"> le 18 juillet 2017</w:t>
      </w:r>
      <w:r w:rsidR="002A4D07" w:rsidRPr="007F3E67">
        <w:rPr>
          <w:rFonts w:ascii="Times New Roman" w:hAnsi="Times New Roman" w:cs="Times New Roman"/>
          <w:color w:val="000000"/>
          <w:lang w:val="fr-FR"/>
        </w:rPr>
        <w:t>. Elle</w:t>
      </w:r>
      <w:r w:rsidRPr="007F3E67">
        <w:rPr>
          <w:rFonts w:ascii="Times New Roman" w:hAnsi="Times New Roman" w:cs="Times New Roman"/>
          <w:color w:val="000000"/>
          <w:lang w:val="fr-FR"/>
        </w:rPr>
        <w:t xml:space="preserve"> est entrée en vigueur le même jour.</w:t>
      </w:r>
    </w:p>
    <w:p w:rsidR="002C3CBB" w:rsidRPr="007F3E67" w:rsidRDefault="00CE377F" w:rsidP="007F3E67">
      <w:pPr>
        <w:pStyle w:val="ECHRHeading1"/>
        <w:rPr>
          <w:lang w:val="fr-FR"/>
        </w:rPr>
      </w:pPr>
      <w:r w:rsidRPr="007F3E67">
        <w:rPr>
          <w:lang w:val="fr-FR"/>
        </w:rPr>
        <w:t>III</w:t>
      </w:r>
      <w:r w:rsidR="002C3CBB" w:rsidRPr="007F3E67">
        <w:rPr>
          <w:lang w:val="fr-FR"/>
        </w:rPr>
        <w:t>.  </w:t>
      </w:r>
      <w:r w:rsidR="00C1552F" w:rsidRPr="007F3E67">
        <w:rPr>
          <w:lang w:val="fr-FR"/>
        </w:rPr>
        <w:t>É</w:t>
      </w:r>
      <w:r w:rsidR="00EB2AC3" w:rsidRPr="007F3E67">
        <w:rPr>
          <w:lang w:val="fr-FR"/>
        </w:rPr>
        <w:t>L</w:t>
      </w:r>
      <w:r w:rsidR="00C1552F" w:rsidRPr="007F3E67">
        <w:rPr>
          <w:lang w:val="fr-FR"/>
        </w:rPr>
        <w:t>É</w:t>
      </w:r>
      <w:r w:rsidR="00EB2AC3" w:rsidRPr="007F3E67">
        <w:rPr>
          <w:lang w:val="fr-FR"/>
        </w:rPr>
        <w:t>MENT</w:t>
      </w:r>
      <w:r w:rsidR="00C1552F" w:rsidRPr="007F3E67">
        <w:rPr>
          <w:lang w:val="fr-FR"/>
        </w:rPr>
        <w:t>S</w:t>
      </w:r>
      <w:r w:rsidR="00EB2AC3" w:rsidRPr="007F3E67">
        <w:rPr>
          <w:lang w:val="fr-FR"/>
        </w:rPr>
        <w:t xml:space="preserve"> PERTINENTS DE DROIT INTERNATIONAL</w:t>
      </w:r>
    </w:p>
    <w:p w:rsidR="00E77CB3" w:rsidRPr="007F3E67" w:rsidRDefault="00EB2AC3" w:rsidP="007F3E67">
      <w:pPr>
        <w:pStyle w:val="ECHRPara"/>
        <w:rPr>
          <w:lang w:val="fr-FR"/>
        </w:rPr>
      </w:pPr>
      <w:r w:rsidRPr="007F3E67">
        <w:rPr>
          <w:lang w:val="fr-FR"/>
        </w:rPr>
        <w:fldChar w:fldCharType="begin"/>
      </w:r>
      <w:r w:rsidRPr="007F3E67">
        <w:rPr>
          <w:lang w:val="fr-FR"/>
        </w:rPr>
        <w:instrText xml:space="preserve"> SEQ level0 \*arabic </w:instrText>
      </w:r>
      <w:r w:rsidRPr="007F3E67">
        <w:rPr>
          <w:lang w:val="fr-FR"/>
        </w:rPr>
        <w:fldChar w:fldCharType="separate"/>
      </w:r>
      <w:r w:rsidR="007F3E67" w:rsidRPr="007F3E67">
        <w:rPr>
          <w:noProof/>
          <w:lang w:val="fr-FR"/>
        </w:rPr>
        <w:t>83</w:t>
      </w:r>
      <w:r w:rsidRPr="007F3E67">
        <w:rPr>
          <w:lang w:val="fr-FR"/>
        </w:rPr>
        <w:fldChar w:fldCharType="end"/>
      </w:r>
      <w:r w:rsidRPr="007F3E67">
        <w:rPr>
          <w:lang w:val="fr-FR"/>
        </w:rPr>
        <w:t>.  Pour ce qui est des éléments de droit international</w:t>
      </w:r>
      <w:r w:rsidR="00C1552F" w:rsidRPr="007F3E67">
        <w:rPr>
          <w:lang w:val="fr-FR"/>
        </w:rPr>
        <w:t xml:space="preserve"> pertinents en l</w:t>
      </w:r>
      <w:r w:rsidR="007F3E67" w:rsidRPr="007F3E67">
        <w:rPr>
          <w:lang w:val="fr-FR"/>
        </w:rPr>
        <w:t>’</w:t>
      </w:r>
      <w:r w:rsidR="00C1552F" w:rsidRPr="007F3E67">
        <w:rPr>
          <w:lang w:val="fr-FR"/>
        </w:rPr>
        <w:t>espèce</w:t>
      </w:r>
      <w:r w:rsidRPr="007F3E67">
        <w:rPr>
          <w:lang w:val="fr-FR"/>
        </w:rPr>
        <w:t>, la Cour renvoie à l</w:t>
      </w:r>
      <w:r w:rsidR="007F3E67" w:rsidRPr="007F3E67">
        <w:rPr>
          <w:lang w:val="fr-FR"/>
        </w:rPr>
        <w:t>’</w:t>
      </w:r>
      <w:r w:rsidRPr="007F3E67">
        <w:rPr>
          <w:lang w:val="fr-FR"/>
        </w:rPr>
        <w:t xml:space="preserve">arrêt </w:t>
      </w:r>
      <w:r w:rsidRPr="007F3E67">
        <w:rPr>
          <w:i/>
          <w:lang w:val="fr-FR"/>
        </w:rPr>
        <w:t xml:space="preserve">Cestaro </w:t>
      </w:r>
      <w:r w:rsidRPr="007F3E67">
        <w:rPr>
          <w:lang w:val="fr-FR"/>
        </w:rPr>
        <w:t>(précité, §§ 107-12</w:t>
      </w:r>
      <w:r w:rsidR="00455811" w:rsidRPr="007F3E67">
        <w:rPr>
          <w:lang w:val="fr-FR"/>
        </w:rPr>
        <w:t>1</w:t>
      </w:r>
      <w:r w:rsidRPr="007F3E67">
        <w:rPr>
          <w:lang w:val="fr-FR"/>
        </w:rPr>
        <w:t>).</w:t>
      </w:r>
    </w:p>
    <w:p w:rsidR="00E77CB3" w:rsidRPr="007F3E67" w:rsidRDefault="00E77CB3" w:rsidP="007F3E67">
      <w:pPr>
        <w:pStyle w:val="ECHRTitle1"/>
        <w:rPr>
          <w:lang w:val="fr-FR"/>
        </w:rPr>
      </w:pPr>
      <w:r w:rsidRPr="007F3E67">
        <w:rPr>
          <w:lang w:val="fr-FR"/>
        </w:rPr>
        <w:t>EN DROIT</w:t>
      </w:r>
    </w:p>
    <w:p w:rsidR="00E77CB3" w:rsidRPr="007F3E67" w:rsidRDefault="00E77CB3" w:rsidP="007F3E67">
      <w:pPr>
        <w:pStyle w:val="ECHRHeading1"/>
        <w:rPr>
          <w:lang w:val="fr-FR"/>
        </w:rPr>
      </w:pPr>
      <w:r w:rsidRPr="007F3E67">
        <w:rPr>
          <w:lang w:val="fr-FR"/>
        </w:rPr>
        <w:t>I.  SUR LA VIOLATION ALLÉGUÉE DE L</w:t>
      </w:r>
      <w:r w:rsidR="007F3E67" w:rsidRPr="007F3E67">
        <w:rPr>
          <w:lang w:val="fr-FR"/>
        </w:rPr>
        <w:t>’</w:t>
      </w:r>
      <w:r w:rsidRPr="007F3E67">
        <w:rPr>
          <w:lang w:val="fr-FR"/>
        </w:rPr>
        <w:t xml:space="preserve">ARTICLE </w:t>
      </w:r>
      <w:r w:rsidR="00F50DAF" w:rsidRPr="007F3E67">
        <w:rPr>
          <w:lang w:val="fr-FR"/>
        </w:rPr>
        <w:t>3</w:t>
      </w:r>
      <w:r w:rsidRPr="007F3E67">
        <w:rPr>
          <w:lang w:val="fr-FR"/>
        </w:rPr>
        <w:t xml:space="preserve"> DE LA CONVENTION</w:t>
      </w:r>
    </w:p>
    <w:p w:rsidR="00301040" w:rsidRPr="007F3E67" w:rsidRDefault="00F50DAF" w:rsidP="007F3E67">
      <w:pPr>
        <w:pStyle w:val="ECHRPara"/>
        <w:rPr>
          <w:lang w:val="fr-FR"/>
        </w:rPr>
      </w:pPr>
      <w:r w:rsidRPr="007F3E67">
        <w:rPr>
          <w:lang w:val="fr-FR"/>
        </w:rPr>
        <w:fldChar w:fldCharType="begin"/>
      </w:r>
      <w:r w:rsidRPr="007F3E67">
        <w:rPr>
          <w:lang w:val="fr-FR"/>
        </w:rPr>
        <w:instrText xml:space="preserve"> SEQ level0 \*arabic </w:instrText>
      </w:r>
      <w:r w:rsidRPr="007F3E67">
        <w:rPr>
          <w:lang w:val="fr-FR"/>
        </w:rPr>
        <w:fldChar w:fldCharType="separate"/>
      </w:r>
      <w:r w:rsidR="007F3E67" w:rsidRPr="007F3E67">
        <w:rPr>
          <w:noProof/>
          <w:lang w:val="fr-FR"/>
        </w:rPr>
        <w:t>84</w:t>
      </w:r>
      <w:r w:rsidRPr="007F3E67">
        <w:rPr>
          <w:lang w:val="fr-FR"/>
        </w:rPr>
        <w:fldChar w:fldCharType="end"/>
      </w:r>
      <w:r w:rsidRPr="007F3E67">
        <w:rPr>
          <w:lang w:val="fr-FR"/>
        </w:rPr>
        <w:t>.  </w:t>
      </w:r>
      <w:r w:rsidR="00791EC8" w:rsidRPr="007F3E67">
        <w:rPr>
          <w:lang w:val="fr-FR"/>
        </w:rPr>
        <w:t>L</w:t>
      </w:r>
      <w:r w:rsidRPr="007F3E67">
        <w:rPr>
          <w:lang w:val="fr-FR"/>
        </w:rPr>
        <w:t>es requérants se plaignent d</w:t>
      </w:r>
      <w:r w:rsidR="007F3E67" w:rsidRPr="007F3E67">
        <w:rPr>
          <w:lang w:val="fr-FR"/>
        </w:rPr>
        <w:t>’</w:t>
      </w:r>
      <w:r w:rsidRPr="007F3E67">
        <w:rPr>
          <w:lang w:val="fr-FR"/>
        </w:rPr>
        <w:t>avoir été soumis à des actes de violence qu</w:t>
      </w:r>
      <w:r w:rsidR="007F3E67" w:rsidRPr="007F3E67">
        <w:rPr>
          <w:lang w:val="fr-FR"/>
        </w:rPr>
        <w:t>’</w:t>
      </w:r>
      <w:r w:rsidRPr="007F3E67">
        <w:rPr>
          <w:lang w:val="fr-FR"/>
        </w:rPr>
        <w:t>ils qualifient de torture et de traitements inhumains et dégradants.</w:t>
      </w:r>
    </w:p>
    <w:p w:rsidR="00E77CB3" w:rsidRPr="007F3E67" w:rsidRDefault="00F50DAF" w:rsidP="007F3E67">
      <w:pPr>
        <w:pStyle w:val="ECHRPara"/>
        <w:rPr>
          <w:lang w:val="fr-FR"/>
        </w:rPr>
      </w:pPr>
      <w:r w:rsidRPr="007F3E67">
        <w:rPr>
          <w:lang w:val="fr-FR"/>
        </w:rPr>
        <w:t>Ils invoquent l</w:t>
      </w:r>
      <w:r w:rsidR="007F3E67" w:rsidRPr="007F3E67">
        <w:rPr>
          <w:lang w:val="fr-FR"/>
        </w:rPr>
        <w:t>’</w:t>
      </w:r>
      <w:r w:rsidRPr="007F3E67">
        <w:rPr>
          <w:lang w:val="fr-FR"/>
        </w:rPr>
        <w:t>article 3 de la Convention</w:t>
      </w:r>
      <w:r w:rsidR="0088786D" w:rsidRPr="007F3E67">
        <w:rPr>
          <w:lang w:val="fr-FR"/>
        </w:rPr>
        <w:t>, qui est</w:t>
      </w:r>
      <w:r w:rsidRPr="007F3E67">
        <w:rPr>
          <w:lang w:val="fr-FR"/>
        </w:rPr>
        <w:t xml:space="preserve"> ainsi libellé </w:t>
      </w:r>
      <w:r w:rsidR="00E77CB3" w:rsidRPr="007F3E67">
        <w:rPr>
          <w:lang w:val="fr-FR"/>
        </w:rPr>
        <w:t>:</w:t>
      </w:r>
    </w:p>
    <w:p w:rsidR="00E77CB3" w:rsidRPr="007F3E67" w:rsidRDefault="00F50DAF" w:rsidP="007F3E67">
      <w:pPr>
        <w:pStyle w:val="ECHRParaQuote"/>
        <w:rPr>
          <w:lang w:val="fr-FR"/>
        </w:rPr>
      </w:pPr>
      <w:r w:rsidRPr="007F3E67">
        <w:rPr>
          <w:lang w:val="fr-FR"/>
        </w:rPr>
        <w:t>« Nul ne peut être soumis à la torture ni à des peines ou traitements inhumains ou dégradants. »</w:t>
      </w:r>
    </w:p>
    <w:p w:rsidR="00301040" w:rsidRPr="007F3E67" w:rsidRDefault="00181994" w:rsidP="007F3E67">
      <w:pPr>
        <w:pStyle w:val="ECHRPara"/>
        <w:rPr>
          <w:lang w:val="fr-FR" w:eastAsia="en-GB"/>
        </w:rPr>
      </w:pPr>
      <w:r w:rsidRPr="007F3E67">
        <w:rPr>
          <w:lang w:val="fr-FR"/>
        </w:rPr>
        <w:fldChar w:fldCharType="begin"/>
      </w:r>
      <w:r w:rsidRPr="007F3E67">
        <w:rPr>
          <w:lang w:val="fr-FR"/>
        </w:rPr>
        <w:instrText xml:space="preserve"> SEQ level0 \*arabic </w:instrText>
      </w:r>
      <w:r w:rsidRPr="007F3E67">
        <w:rPr>
          <w:lang w:val="fr-FR"/>
        </w:rPr>
        <w:fldChar w:fldCharType="separate"/>
      </w:r>
      <w:r w:rsidR="007F3E67" w:rsidRPr="007F3E67">
        <w:rPr>
          <w:noProof/>
          <w:lang w:val="fr-FR"/>
        </w:rPr>
        <w:t>85</w:t>
      </w:r>
      <w:r w:rsidRPr="007F3E67">
        <w:rPr>
          <w:lang w:val="fr-FR"/>
        </w:rPr>
        <w:fldChar w:fldCharType="end"/>
      </w:r>
      <w:r w:rsidRPr="007F3E67">
        <w:rPr>
          <w:lang w:val="fr-FR"/>
        </w:rPr>
        <w:t>.  </w:t>
      </w:r>
      <w:r w:rsidRPr="007F3E67">
        <w:rPr>
          <w:lang w:val="fr-FR" w:eastAsia="en-GB"/>
        </w:rPr>
        <w:t>Ils soutiennent aussi que l</w:t>
      </w:r>
      <w:r w:rsidR="007F3E67" w:rsidRPr="007F3E67">
        <w:rPr>
          <w:lang w:val="fr-FR" w:eastAsia="en-GB"/>
        </w:rPr>
        <w:t>’</w:t>
      </w:r>
      <w:r w:rsidRPr="007F3E67">
        <w:rPr>
          <w:lang w:val="fr-FR" w:eastAsia="en-GB"/>
        </w:rPr>
        <w:t xml:space="preserve">enquête </w:t>
      </w:r>
      <w:r w:rsidR="0088786D" w:rsidRPr="007F3E67">
        <w:rPr>
          <w:lang w:val="fr-FR" w:eastAsia="en-GB"/>
        </w:rPr>
        <w:t xml:space="preserve">a </w:t>
      </w:r>
      <w:r w:rsidRPr="007F3E67">
        <w:rPr>
          <w:lang w:val="fr-FR" w:eastAsia="en-GB"/>
        </w:rPr>
        <w:t>été défaillante en raison de</w:t>
      </w:r>
      <w:r w:rsidR="00FC06C7" w:rsidRPr="007F3E67">
        <w:rPr>
          <w:lang w:val="fr-FR" w:eastAsia="en-GB"/>
        </w:rPr>
        <w:t>s sanctions</w:t>
      </w:r>
      <w:r w:rsidR="0088786D" w:rsidRPr="007F3E67">
        <w:rPr>
          <w:lang w:val="fr-FR" w:eastAsia="en-GB"/>
        </w:rPr>
        <w:t xml:space="preserve"> à leurs yeux inadéquates infligées aux personnes jugées responsables.</w:t>
      </w:r>
      <w:r w:rsidR="00FC06C7" w:rsidRPr="007F3E67">
        <w:rPr>
          <w:lang w:val="fr-FR" w:eastAsia="en-GB"/>
        </w:rPr>
        <w:t xml:space="preserve"> </w:t>
      </w:r>
      <w:r w:rsidR="0088786D" w:rsidRPr="007F3E67">
        <w:rPr>
          <w:lang w:val="fr-FR" w:eastAsia="en-GB"/>
        </w:rPr>
        <w:t>À cet égard, ils dénoncent</w:t>
      </w:r>
      <w:r w:rsidRPr="007F3E67">
        <w:rPr>
          <w:lang w:val="fr-FR" w:eastAsia="en-GB"/>
        </w:rPr>
        <w:t xml:space="preserve"> notamment la prescription appliquée à la plupart des délits reprochés, la remise de peine dont certains condamnés </w:t>
      </w:r>
      <w:r w:rsidR="004E176A" w:rsidRPr="007F3E67">
        <w:rPr>
          <w:lang w:val="fr-FR" w:eastAsia="en-GB"/>
        </w:rPr>
        <w:t>auraie</w:t>
      </w:r>
      <w:r w:rsidRPr="007F3E67">
        <w:rPr>
          <w:lang w:val="fr-FR" w:eastAsia="en-GB"/>
        </w:rPr>
        <w:t xml:space="preserve">nt bénéficié </w:t>
      </w:r>
      <w:r w:rsidR="0088786D" w:rsidRPr="007F3E67">
        <w:rPr>
          <w:lang w:val="fr-FR" w:eastAsia="en-GB"/>
        </w:rPr>
        <w:t>et</w:t>
      </w:r>
      <w:r w:rsidRPr="007F3E67">
        <w:rPr>
          <w:lang w:val="fr-FR" w:eastAsia="en-GB"/>
        </w:rPr>
        <w:t xml:space="preserve"> l</w:t>
      </w:r>
      <w:r w:rsidR="007F3E67" w:rsidRPr="007F3E67">
        <w:rPr>
          <w:lang w:val="fr-FR" w:eastAsia="en-GB"/>
        </w:rPr>
        <w:t>’</w:t>
      </w:r>
      <w:r w:rsidRPr="007F3E67">
        <w:rPr>
          <w:lang w:val="fr-FR" w:eastAsia="en-GB"/>
        </w:rPr>
        <w:t>absence de sanctions disciplinaires à l</w:t>
      </w:r>
      <w:r w:rsidR="007F3E67" w:rsidRPr="007F3E67">
        <w:rPr>
          <w:lang w:val="fr-FR" w:eastAsia="en-GB"/>
        </w:rPr>
        <w:t>’</w:t>
      </w:r>
      <w:r w:rsidRPr="007F3E67">
        <w:rPr>
          <w:lang w:val="fr-FR" w:eastAsia="en-GB"/>
        </w:rPr>
        <w:t>égard de ces mêmes personnes. Dans ce cadre, ils maintiennent que, en s</w:t>
      </w:r>
      <w:r w:rsidR="007F3E67" w:rsidRPr="007F3E67">
        <w:rPr>
          <w:lang w:val="fr-FR" w:eastAsia="en-GB"/>
        </w:rPr>
        <w:t>’</w:t>
      </w:r>
      <w:r w:rsidRPr="007F3E67">
        <w:rPr>
          <w:lang w:val="fr-FR" w:eastAsia="en-GB"/>
        </w:rPr>
        <w:t>abstenant d</w:t>
      </w:r>
      <w:r w:rsidR="007F3E67" w:rsidRPr="007F3E67">
        <w:rPr>
          <w:lang w:val="fr-FR" w:eastAsia="en-GB"/>
        </w:rPr>
        <w:t>’</w:t>
      </w:r>
      <w:r w:rsidRPr="007F3E67">
        <w:rPr>
          <w:lang w:val="fr-FR" w:eastAsia="en-GB"/>
        </w:rPr>
        <w:t>inscrire dans l</w:t>
      </w:r>
      <w:r w:rsidR="007F3E67" w:rsidRPr="007F3E67">
        <w:rPr>
          <w:lang w:val="fr-FR" w:eastAsia="en-GB"/>
        </w:rPr>
        <w:t>’</w:t>
      </w:r>
      <w:r w:rsidRPr="007F3E67">
        <w:rPr>
          <w:lang w:val="fr-FR" w:eastAsia="en-GB"/>
        </w:rPr>
        <w:t>ordre juridique national le délit de torture, l</w:t>
      </w:r>
      <w:r w:rsidR="007F3E67" w:rsidRPr="007F3E67">
        <w:rPr>
          <w:lang w:val="fr-FR" w:eastAsia="en-GB"/>
        </w:rPr>
        <w:t>’</w:t>
      </w:r>
      <w:r w:rsidRPr="007F3E67">
        <w:rPr>
          <w:lang w:val="fr-FR" w:eastAsia="en-GB"/>
        </w:rPr>
        <w:t>État n</w:t>
      </w:r>
      <w:r w:rsidR="007F3E67" w:rsidRPr="007F3E67">
        <w:rPr>
          <w:lang w:val="fr-FR" w:eastAsia="en-GB"/>
        </w:rPr>
        <w:t>’</w:t>
      </w:r>
      <w:r w:rsidRPr="007F3E67">
        <w:rPr>
          <w:lang w:val="fr-FR" w:eastAsia="en-GB"/>
        </w:rPr>
        <w:t xml:space="preserve">a pas adopté les mesures nécessaires </w:t>
      </w:r>
      <w:r w:rsidR="004E176A" w:rsidRPr="007F3E67">
        <w:rPr>
          <w:lang w:val="fr-FR" w:eastAsia="en-GB"/>
        </w:rPr>
        <w:t>permettant de</w:t>
      </w:r>
      <w:r w:rsidRPr="007F3E67">
        <w:rPr>
          <w:lang w:val="fr-FR" w:eastAsia="en-GB"/>
        </w:rPr>
        <w:t xml:space="preserve"> prévenir </w:t>
      </w:r>
      <w:r w:rsidR="004E176A" w:rsidRPr="007F3E67">
        <w:rPr>
          <w:lang w:val="fr-FR" w:eastAsia="en-GB"/>
        </w:rPr>
        <w:t>d</w:t>
      </w:r>
      <w:r w:rsidRPr="007F3E67">
        <w:rPr>
          <w:lang w:val="fr-FR" w:eastAsia="en-GB"/>
        </w:rPr>
        <w:t xml:space="preserve">es </w:t>
      </w:r>
      <w:r w:rsidRPr="007F3E67">
        <w:rPr>
          <w:lang w:val="fr-FR" w:eastAsia="en-GB"/>
        </w:rPr>
        <w:lastRenderedPageBreak/>
        <w:t xml:space="preserve">violences et autres mauvais traitements </w:t>
      </w:r>
      <w:r w:rsidR="004E176A" w:rsidRPr="007F3E67">
        <w:rPr>
          <w:lang w:val="fr-FR"/>
        </w:rPr>
        <w:t xml:space="preserve">similaires à ceux </w:t>
      </w:r>
      <w:r w:rsidRPr="007F3E67">
        <w:rPr>
          <w:lang w:val="fr-FR" w:eastAsia="en-GB"/>
        </w:rPr>
        <w:t>dont ils se disent victimes.</w:t>
      </w:r>
    </w:p>
    <w:p w:rsidR="00181994" w:rsidRPr="007F3E67" w:rsidRDefault="00181994" w:rsidP="007F3E67">
      <w:pPr>
        <w:pStyle w:val="ECHRPara"/>
        <w:rPr>
          <w:lang w:val="fr-FR"/>
        </w:rPr>
      </w:pPr>
      <w:r w:rsidRPr="007F3E67">
        <w:rPr>
          <w:lang w:val="fr-FR"/>
        </w:rPr>
        <w:t xml:space="preserve">Ils invoquent à cet égard les articles </w:t>
      </w:r>
      <w:r w:rsidR="00FC06C7" w:rsidRPr="007F3E67">
        <w:rPr>
          <w:lang w:val="fr-FR"/>
        </w:rPr>
        <w:t>3</w:t>
      </w:r>
      <w:r w:rsidRPr="007F3E67">
        <w:rPr>
          <w:lang w:val="fr-FR"/>
        </w:rPr>
        <w:t xml:space="preserve"> et 13 de la Convention, pris séparément et </w:t>
      </w:r>
      <w:r w:rsidR="004E176A" w:rsidRPr="007F3E67">
        <w:rPr>
          <w:lang w:val="fr-FR"/>
        </w:rPr>
        <w:t>c</w:t>
      </w:r>
      <w:r w:rsidRPr="007F3E67">
        <w:rPr>
          <w:lang w:val="fr-FR"/>
        </w:rPr>
        <w:t>ombin</w:t>
      </w:r>
      <w:r w:rsidR="004E176A" w:rsidRPr="007F3E67">
        <w:rPr>
          <w:lang w:val="fr-FR"/>
        </w:rPr>
        <w:t>és</w:t>
      </w:r>
      <w:r w:rsidRPr="007F3E67">
        <w:rPr>
          <w:lang w:val="fr-FR"/>
        </w:rPr>
        <w:t>.</w:t>
      </w:r>
    </w:p>
    <w:p w:rsidR="00181994" w:rsidRPr="007F3E67" w:rsidRDefault="00181994" w:rsidP="007F3E67">
      <w:pPr>
        <w:pStyle w:val="ECHRPara"/>
        <w:rPr>
          <w:lang w:val="fr-FR"/>
        </w:rPr>
      </w:pPr>
      <w:r w:rsidRPr="007F3E67">
        <w:rPr>
          <w:lang w:val="fr-FR"/>
        </w:rPr>
        <w:fldChar w:fldCharType="begin"/>
      </w:r>
      <w:r w:rsidRPr="007F3E67">
        <w:rPr>
          <w:lang w:val="fr-FR"/>
        </w:rPr>
        <w:instrText xml:space="preserve"> SEQ level0 \*arabic </w:instrText>
      </w:r>
      <w:r w:rsidRPr="007F3E67">
        <w:rPr>
          <w:lang w:val="fr-FR"/>
        </w:rPr>
        <w:fldChar w:fldCharType="separate"/>
      </w:r>
      <w:r w:rsidR="007F3E67" w:rsidRPr="007F3E67">
        <w:rPr>
          <w:noProof/>
          <w:lang w:val="fr-FR"/>
        </w:rPr>
        <w:t>86</w:t>
      </w:r>
      <w:r w:rsidRPr="007F3E67">
        <w:rPr>
          <w:lang w:val="fr-FR"/>
        </w:rPr>
        <w:fldChar w:fldCharType="end"/>
      </w:r>
      <w:r w:rsidRPr="007F3E67">
        <w:rPr>
          <w:lang w:val="fr-FR"/>
        </w:rPr>
        <w:t>.  Eu égard à la formulation des griefs d</w:t>
      </w:r>
      <w:r w:rsidR="0028265B" w:rsidRPr="007F3E67">
        <w:rPr>
          <w:lang w:val="fr-FR"/>
        </w:rPr>
        <w:t>es</w:t>
      </w:r>
      <w:r w:rsidRPr="007F3E67">
        <w:rPr>
          <w:lang w:val="fr-FR"/>
        </w:rPr>
        <w:t xml:space="preserve"> requérant</w:t>
      </w:r>
      <w:r w:rsidR="0028265B" w:rsidRPr="007F3E67">
        <w:rPr>
          <w:lang w:val="fr-FR"/>
        </w:rPr>
        <w:t>s</w:t>
      </w:r>
      <w:r w:rsidRPr="007F3E67">
        <w:rPr>
          <w:lang w:val="fr-FR"/>
        </w:rPr>
        <w:t>, la Cour estime qu</w:t>
      </w:r>
      <w:r w:rsidR="007F3E67" w:rsidRPr="007F3E67">
        <w:rPr>
          <w:lang w:val="fr-FR"/>
        </w:rPr>
        <w:t>’</w:t>
      </w:r>
      <w:r w:rsidRPr="007F3E67">
        <w:rPr>
          <w:lang w:val="fr-FR"/>
        </w:rPr>
        <w:t>il convient d</w:t>
      </w:r>
      <w:r w:rsidR="007F3E67" w:rsidRPr="007F3E67">
        <w:rPr>
          <w:lang w:val="fr-FR"/>
        </w:rPr>
        <w:t>’</w:t>
      </w:r>
      <w:r w:rsidRPr="007F3E67">
        <w:rPr>
          <w:lang w:val="fr-FR"/>
        </w:rPr>
        <w:t>examiner la question de l</w:t>
      </w:r>
      <w:r w:rsidR="007F3E67" w:rsidRPr="007F3E67">
        <w:rPr>
          <w:lang w:val="fr-FR"/>
        </w:rPr>
        <w:t>’</w:t>
      </w:r>
      <w:r w:rsidRPr="007F3E67">
        <w:rPr>
          <w:lang w:val="fr-FR"/>
        </w:rPr>
        <w:t>absence d</w:t>
      </w:r>
      <w:r w:rsidR="007F3E67" w:rsidRPr="007F3E67">
        <w:rPr>
          <w:lang w:val="fr-FR"/>
        </w:rPr>
        <w:t>’</w:t>
      </w:r>
      <w:r w:rsidRPr="007F3E67">
        <w:rPr>
          <w:lang w:val="fr-FR"/>
        </w:rPr>
        <w:t>une enquête effective sur les mauvais traitements allégués uniquement sous l</w:t>
      </w:r>
      <w:r w:rsidR="007F3E67" w:rsidRPr="007F3E67">
        <w:rPr>
          <w:lang w:val="fr-FR"/>
        </w:rPr>
        <w:t>’</w:t>
      </w:r>
      <w:r w:rsidRPr="007F3E67">
        <w:rPr>
          <w:lang w:val="fr-FR"/>
        </w:rPr>
        <w:t>angle du volet procédural de l</w:t>
      </w:r>
      <w:r w:rsidR="007F3E67" w:rsidRPr="007F3E67">
        <w:rPr>
          <w:lang w:val="fr-FR"/>
        </w:rPr>
        <w:t>’</w:t>
      </w:r>
      <w:r w:rsidRPr="007F3E67">
        <w:rPr>
          <w:lang w:val="fr-FR"/>
        </w:rPr>
        <w:t>article 3 de la Convention (</w:t>
      </w:r>
      <w:r w:rsidRPr="007F3E67">
        <w:rPr>
          <w:i/>
          <w:lang w:val="fr-FR"/>
        </w:rPr>
        <w:t>Dembele c. Suisse</w:t>
      </w:r>
      <w:r w:rsidRPr="007F3E67">
        <w:rPr>
          <w:lang w:val="fr-FR"/>
        </w:rPr>
        <w:t>, n</w:t>
      </w:r>
      <w:r w:rsidR="00301040" w:rsidRPr="007F3E67">
        <w:rPr>
          <w:vertAlign w:val="superscript"/>
          <w:lang w:val="fr-FR"/>
        </w:rPr>
        <w:t>o</w:t>
      </w:r>
      <w:r w:rsidR="007F3E67" w:rsidRPr="007F3E67">
        <w:rPr>
          <w:lang w:val="fr-FR"/>
        </w:rPr>
        <w:t xml:space="preserve"> 74010/11, § </w:t>
      </w:r>
      <w:r w:rsidRPr="007F3E67">
        <w:rPr>
          <w:lang w:val="fr-FR"/>
        </w:rPr>
        <w:t>33, 24 septembre 2013, avec les références qui y figurent).</w:t>
      </w:r>
    </w:p>
    <w:p w:rsidR="0008551F" w:rsidRPr="007F3E67" w:rsidRDefault="0008551F" w:rsidP="007F3E67">
      <w:pPr>
        <w:pStyle w:val="ECHRHeading2"/>
        <w:rPr>
          <w:lang w:val="fr-FR"/>
        </w:rPr>
      </w:pPr>
      <w:r w:rsidRPr="007F3E67">
        <w:rPr>
          <w:lang w:val="fr-FR"/>
        </w:rPr>
        <w:t>A.  Sur la demande de radiation du rôle de la requête n</w:t>
      </w:r>
      <w:r w:rsidR="00301040" w:rsidRPr="007F3E67">
        <w:rPr>
          <w:vertAlign w:val="superscript"/>
          <w:lang w:val="fr-FR"/>
        </w:rPr>
        <w:t>o</w:t>
      </w:r>
      <w:r w:rsidRPr="007F3E67">
        <w:rPr>
          <w:lang w:val="fr-FR"/>
        </w:rPr>
        <w:t xml:space="preserve"> 67599/10 en ce qui concerne </w:t>
      </w:r>
      <w:r w:rsidR="0028265B" w:rsidRPr="007F3E67">
        <w:rPr>
          <w:lang w:val="fr-FR"/>
        </w:rPr>
        <w:t>les requérants figurant</w:t>
      </w:r>
      <w:r w:rsidRPr="007F3E67">
        <w:rPr>
          <w:lang w:val="fr-FR"/>
        </w:rPr>
        <w:t xml:space="preserve"> sous les numéros </w:t>
      </w:r>
      <w:r w:rsidR="00B22EF1" w:rsidRPr="007F3E67">
        <w:rPr>
          <w:lang w:val="fr-FR"/>
        </w:rPr>
        <w:t>5</w:t>
      </w:r>
      <w:r w:rsidRPr="007F3E67">
        <w:rPr>
          <w:lang w:val="fr-FR"/>
        </w:rPr>
        <w:t xml:space="preserve">, </w:t>
      </w:r>
      <w:r w:rsidR="00B22EF1" w:rsidRPr="007F3E67">
        <w:rPr>
          <w:lang w:val="fr-FR"/>
        </w:rPr>
        <w:t>9-11</w:t>
      </w:r>
      <w:r w:rsidRPr="007F3E67">
        <w:rPr>
          <w:lang w:val="fr-FR"/>
        </w:rPr>
        <w:t xml:space="preserve">, </w:t>
      </w:r>
      <w:r w:rsidR="00B22EF1" w:rsidRPr="007F3E67">
        <w:rPr>
          <w:lang w:val="fr-FR"/>
        </w:rPr>
        <w:t>14, 17</w:t>
      </w:r>
      <w:r w:rsidR="0028265B" w:rsidRPr="007F3E67">
        <w:rPr>
          <w:lang w:val="fr-FR"/>
        </w:rPr>
        <w:t xml:space="preserve"> et </w:t>
      </w:r>
      <w:r w:rsidR="00B22EF1" w:rsidRPr="007F3E67">
        <w:rPr>
          <w:lang w:val="fr-FR"/>
        </w:rPr>
        <w:t>18</w:t>
      </w:r>
      <w:r w:rsidRPr="007F3E67">
        <w:rPr>
          <w:lang w:val="fr-FR"/>
        </w:rPr>
        <w:t xml:space="preserve"> d</w:t>
      </w:r>
      <w:r w:rsidR="004133B6" w:rsidRPr="007F3E67">
        <w:rPr>
          <w:lang w:val="fr-FR"/>
        </w:rPr>
        <w:t>ans la liste en annexe</w:t>
      </w:r>
    </w:p>
    <w:p w:rsidR="00624775" w:rsidRPr="007F3E67" w:rsidRDefault="007141CA" w:rsidP="007F3E67">
      <w:pPr>
        <w:pStyle w:val="ECHRPara"/>
        <w:rPr>
          <w:lang w:val="fr-FR"/>
        </w:rPr>
      </w:pPr>
      <w:r w:rsidRPr="007F3E67">
        <w:rPr>
          <w:lang w:val="fr-FR"/>
        </w:rPr>
        <w:fldChar w:fldCharType="begin"/>
      </w:r>
      <w:r w:rsidRPr="007F3E67">
        <w:rPr>
          <w:lang w:val="fr-FR"/>
        </w:rPr>
        <w:instrText xml:space="preserve"> SEQ level0 \*arabic </w:instrText>
      </w:r>
      <w:r w:rsidRPr="007F3E67">
        <w:rPr>
          <w:lang w:val="fr-FR"/>
        </w:rPr>
        <w:fldChar w:fldCharType="separate"/>
      </w:r>
      <w:r w:rsidR="007F3E67" w:rsidRPr="007F3E67">
        <w:rPr>
          <w:noProof/>
          <w:lang w:val="fr-FR"/>
        </w:rPr>
        <w:t>87</w:t>
      </w:r>
      <w:r w:rsidRPr="007F3E67">
        <w:rPr>
          <w:lang w:val="fr-FR"/>
        </w:rPr>
        <w:fldChar w:fldCharType="end"/>
      </w:r>
      <w:r w:rsidRPr="007F3E67">
        <w:rPr>
          <w:lang w:val="fr-FR"/>
        </w:rPr>
        <w:t>.  </w:t>
      </w:r>
      <w:r w:rsidR="00624775" w:rsidRPr="007F3E67">
        <w:rPr>
          <w:lang w:val="fr-FR"/>
        </w:rPr>
        <w:t>La Cour a reçu des déclarations de règlement amiable signées par l</w:t>
      </w:r>
      <w:r w:rsidR="006B20FB" w:rsidRPr="007F3E67">
        <w:rPr>
          <w:lang w:val="fr-FR"/>
        </w:rPr>
        <w:t xml:space="preserve">es </w:t>
      </w:r>
      <w:r w:rsidR="00791EC8" w:rsidRPr="007F3E67">
        <w:rPr>
          <w:lang w:val="fr-FR"/>
        </w:rPr>
        <w:t xml:space="preserve">parties </w:t>
      </w:r>
      <w:r w:rsidR="006B20FB" w:rsidRPr="007F3E67">
        <w:rPr>
          <w:lang w:val="fr-FR"/>
        </w:rPr>
        <w:t>requérant</w:t>
      </w:r>
      <w:r w:rsidR="00791EC8" w:rsidRPr="007F3E67">
        <w:rPr>
          <w:lang w:val="fr-FR"/>
        </w:rPr>
        <w:t xml:space="preserve">es </w:t>
      </w:r>
      <w:r w:rsidR="00624775" w:rsidRPr="007F3E67">
        <w:rPr>
          <w:lang w:val="fr-FR"/>
        </w:rPr>
        <w:t>le 27 juillet 2016 et par le Gouvernement le 9</w:t>
      </w:r>
      <w:r w:rsidR="00E92A74" w:rsidRPr="007F3E67">
        <w:rPr>
          <w:lang w:val="fr-FR"/>
        </w:rPr>
        <w:t> </w:t>
      </w:r>
      <w:r w:rsidR="00624775" w:rsidRPr="007F3E67">
        <w:rPr>
          <w:lang w:val="fr-FR"/>
        </w:rPr>
        <w:t>septembre 2016. Ce dernier s</w:t>
      </w:r>
      <w:r w:rsidR="007F3E67" w:rsidRPr="007F3E67">
        <w:rPr>
          <w:lang w:val="fr-FR"/>
        </w:rPr>
        <w:t>’</w:t>
      </w:r>
      <w:r w:rsidR="00624775" w:rsidRPr="007F3E67">
        <w:rPr>
          <w:lang w:val="fr-FR"/>
        </w:rPr>
        <w:t>engage à verser à chaque requérant la somme de 45</w:t>
      </w:r>
      <w:r w:rsidR="009206B2" w:rsidRPr="007F3E67">
        <w:rPr>
          <w:lang w:val="fr-FR"/>
        </w:rPr>
        <w:t> </w:t>
      </w:r>
      <w:r w:rsidR="00624775" w:rsidRPr="007F3E67">
        <w:rPr>
          <w:lang w:val="fr-FR"/>
        </w:rPr>
        <w:t>000</w:t>
      </w:r>
      <w:r w:rsidR="009206B2" w:rsidRPr="007F3E67">
        <w:rPr>
          <w:lang w:val="fr-FR"/>
        </w:rPr>
        <w:t> </w:t>
      </w:r>
      <w:r w:rsidR="00624775" w:rsidRPr="007F3E67">
        <w:rPr>
          <w:lang w:val="fr-FR"/>
        </w:rPr>
        <w:t>EUR à titre de préjudice matériel et moral et pour les frais et dépens engagés tant d</w:t>
      </w:r>
      <w:r w:rsidR="004E176A" w:rsidRPr="007F3E67">
        <w:rPr>
          <w:lang w:val="fr-FR"/>
        </w:rPr>
        <w:t>ans la procédure d</w:t>
      </w:r>
      <w:r w:rsidR="00624775" w:rsidRPr="007F3E67">
        <w:rPr>
          <w:lang w:val="fr-FR"/>
        </w:rPr>
        <w:t xml:space="preserve">evant la Cour que </w:t>
      </w:r>
      <w:r w:rsidR="004E176A" w:rsidRPr="007F3E67">
        <w:rPr>
          <w:lang w:val="fr-FR"/>
        </w:rPr>
        <w:t xml:space="preserve">dans celle </w:t>
      </w:r>
      <w:r w:rsidR="00624775" w:rsidRPr="007F3E67">
        <w:rPr>
          <w:lang w:val="fr-FR"/>
        </w:rPr>
        <w:t>devant les juridictions internes, plus tout montant pouvant être dû à titre d</w:t>
      </w:r>
      <w:r w:rsidR="007F3E67" w:rsidRPr="007F3E67">
        <w:rPr>
          <w:lang w:val="fr-FR"/>
        </w:rPr>
        <w:t>’</w:t>
      </w:r>
      <w:r w:rsidR="00624775" w:rsidRPr="007F3E67">
        <w:rPr>
          <w:lang w:val="fr-FR"/>
        </w:rPr>
        <w:t>impôt par les intéressés, lesquels ont renoncé à toute autre prétention à l</w:t>
      </w:r>
      <w:r w:rsidR="007F3E67" w:rsidRPr="007F3E67">
        <w:rPr>
          <w:lang w:val="fr-FR"/>
        </w:rPr>
        <w:t>’</w:t>
      </w:r>
      <w:r w:rsidR="00624775" w:rsidRPr="007F3E67">
        <w:rPr>
          <w:lang w:val="fr-FR"/>
        </w:rPr>
        <w:t xml:space="preserve">encontre de </w:t>
      </w:r>
      <w:r w:rsidR="002143EA" w:rsidRPr="007F3E67">
        <w:rPr>
          <w:lang w:val="fr-FR"/>
        </w:rPr>
        <w:t xml:space="preserve">la République italienne </w:t>
      </w:r>
      <w:r w:rsidR="00624775" w:rsidRPr="007F3E67">
        <w:rPr>
          <w:lang w:val="fr-FR"/>
        </w:rPr>
        <w:t>au sujet des faits à l</w:t>
      </w:r>
      <w:r w:rsidR="007F3E67" w:rsidRPr="007F3E67">
        <w:rPr>
          <w:lang w:val="fr-FR"/>
        </w:rPr>
        <w:t>’</w:t>
      </w:r>
      <w:r w:rsidR="00624775" w:rsidRPr="007F3E67">
        <w:rPr>
          <w:lang w:val="fr-FR"/>
        </w:rPr>
        <w:t>origine de leurs requêtes.</w:t>
      </w:r>
    </w:p>
    <w:p w:rsidR="00624775" w:rsidRPr="007F3E67" w:rsidRDefault="00624775" w:rsidP="007F3E67">
      <w:pPr>
        <w:pStyle w:val="ECHRPara"/>
        <w:rPr>
          <w:lang w:val="fr-FR"/>
        </w:rPr>
      </w:pPr>
      <w:r w:rsidRPr="007F3E67">
        <w:rPr>
          <w:lang w:val="fr-FR"/>
        </w:rPr>
        <w:t>Cette somme sera versée dans les trois mois suivant la date de la notification de la décision de la Cour. À défaut de règlement dans ledit délai, le Gouvernement s</w:t>
      </w:r>
      <w:r w:rsidR="007F3E67" w:rsidRPr="007F3E67">
        <w:rPr>
          <w:lang w:val="fr-FR"/>
        </w:rPr>
        <w:t>’</w:t>
      </w:r>
      <w:r w:rsidRPr="007F3E67">
        <w:rPr>
          <w:lang w:val="fr-FR"/>
        </w:rPr>
        <w:t>engage à verser, à compter de l</w:t>
      </w:r>
      <w:r w:rsidR="007F3E67" w:rsidRPr="007F3E67">
        <w:rPr>
          <w:lang w:val="fr-FR"/>
        </w:rPr>
        <w:t>’</w:t>
      </w:r>
      <w:r w:rsidRPr="007F3E67">
        <w:rPr>
          <w:lang w:val="fr-FR"/>
        </w:rPr>
        <w:t>expiration de celui-ci et jusqu</w:t>
      </w:r>
      <w:r w:rsidR="007F3E67" w:rsidRPr="007F3E67">
        <w:rPr>
          <w:lang w:val="fr-FR"/>
        </w:rPr>
        <w:t>’</w:t>
      </w:r>
      <w:r w:rsidRPr="007F3E67">
        <w:rPr>
          <w:lang w:val="fr-FR"/>
        </w:rPr>
        <w:t>au règlement effectif de la somme en question, un intérêt simple à un taux égal à celui de la facilité de prêt marginal de la Banque centrale européenne, augmenté de trois points de pourcentage. Ce versement vaudra règlement définitif de l</w:t>
      </w:r>
      <w:r w:rsidR="007F3E67" w:rsidRPr="007F3E67">
        <w:rPr>
          <w:lang w:val="fr-FR"/>
        </w:rPr>
        <w:t>’</w:t>
      </w:r>
      <w:r w:rsidRPr="007F3E67">
        <w:rPr>
          <w:lang w:val="fr-FR"/>
        </w:rPr>
        <w:t>affaire.</w:t>
      </w:r>
    </w:p>
    <w:p w:rsidR="00624775" w:rsidRPr="007F3E67" w:rsidRDefault="007D4557" w:rsidP="007F3E67">
      <w:pPr>
        <w:pStyle w:val="ECHRPara"/>
        <w:rPr>
          <w:lang w:val="fr-FR"/>
        </w:rPr>
      </w:pPr>
      <w:r w:rsidRPr="007F3E67">
        <w:rPr>
          <w:lang w:val="fr-FR"/>
        </w:rPr>
        <w:fldChar w:fldCharType="begin"/>
      </w:r>
      <w:r w:rsidRPr="007F3E67">
        <w:rPr>
          <w:lang w:val="fr-FR"/>
        </w:rPr>
        <w:instrText xml:space="preserve"> SEQ level0 \*arabic </w:instrText>
      </w:r>
      <w:r w:rsidRPr="007F3E67">
        <w:rPr>
          <w:lang w:val="fr-FR"/>
        </w:rPr>
        <w:fldChar w:fldCharType="separate"/>
      </w:r>
      <w:r w:rsidR="007F3E67" w:rsidRPr="007F3E67">
        <w:rPr>
          <w:noProof/>
          <w:lang w:val="fr-FR"/>
        </w:rPr>
        <w:t>88</w:t>
      </w:r>
      <w:r w:rsidRPr="007F3E67">
        <w:rPr>
          <w:lang w:val="fr-FR"/>
        </w:rPr>
        <w:fldChar w:fldCharType="end"/>
      </w:r>
      <w:r w:rsidRPr="007F3E67">
        <w:rPr>
          <w:lang w:val="fr-FR"/>
        </w:rPr>
        <w:t>.  </w:t>
      </w:r>
      <w:r w:rsidR="00624775" w:rsidRPr="007F3E67">
        <w:rPr>
          <w:lang w:val="fr-FR"/>
        </w:rPr>
        <w:t>La Cour prend acte du règlement amiable auquel les parties sont parvenues. Elle estime que ce règlement s</w:t>
      </w:r>
      <w:r w:rsidR="007F3E67" w:rsidRPr="007F3E67">
        <w:rPr>
          <w:lang w:val="fr-FR"/>
        </w:rPr>
        <w:t>’</w:t>
      </w:r>
      <w:r w:rsidR="00624775" w:rsidRPr="007F3E67">
        <w:rPr>
          <w:lang w:val="fr-FR"/>
        </w:rPr>
        <w:t>inspire du respect des droits de l</w:t>
      </w:r>
      <w:r w:rsidR="007F3E67" w:rsidRPr="007F3E67">
        <w:rPr>
          <w:lang w:val="fr-FR"/>
        </w:rPr>
        <w:t>’</w:t>
      </w:r>
      <w:r w:rsidR="00624775" w:rsidRPr="007F3E67">
        <w:rPr>
          <w:lang w:val="fr-FR"/>
        </w:rPr>
        <w:t xml:space="preserve">homme tels que les reconnaissent la Convention et ses Protocoles et </w:t>
      </w:r>
      <w:r w:rsidR="00DD3007" w:rsidRPr="007F3E67">
        <w:rPr>
          <w:lang w:val="fr-FR"/>
        </w:rPr>
        <w:t xml:space="preserve">elle </w:t>
      </w:r>
      <w:r w:rsidR="00624775" w:rsidRPr="007F3E67">
        <w:rPr>
          <w:lang w:val="fr-FR"/>
        </w:rPr>
        <w:t>ne voit par ailleurs aucun motif justifiant de poursuivre l</w:t>
      </w:r>
      <w:r w:rsidR="007F3E67" w:rsidRPr="007F3E67">
        <w:rPr>
          <w:lang w:val="fr-FR"/>
        </w:rPr>
        <w:t>’</w:t>
      </w:r>
      <w:r w:rsidR="00624775" w:rsidRPr="007F3E67">
        <w:rPr>
          <w:lang w:val="fr-FR"/>
        </w:rPr>
        <w:t>examen de la requête à l</w:t>
      </w:r>
      <w:r w:rsidR="007F3E67" w:rsidRPr="007F3E67">
        <w:rPr>
          <w:lang w:val="fr-FR"/>
        </w:rPr>
        <w:t>’</w:t>
      </w:r>
      <w:r w:rsidR="00624775" w:rsidRPr="007F3E67">
        <w:rPr>
          <w:lang w:val="fr-FR"/>
        </w:rPr>
        <w:t>égard des requérants concernés.</w:t>
      </w:r>
    </w:p>
    <w:p w:rsidR="00624775" w:rsidRPr="007F3E67" w:rsidRDefault="00624775" w:rsidP="007F3E67">
      <w:pPr>
        <w:pStyle w:val="ECHRPara"/>
        <w:rPr>
          <w:lang w:val="fr-FR"/>
        </w:rPr>
      </w:pPr>
      <w:r w:rsidRPr="007F3E67">
        <w:rPr>
          <w:lang w:val="fr-FR"/>
        </w:rPr>
        <w:fldChar w:fldCharType="begin"/>
      </w:r>
      <w:r w:rsidRPr="007F3E67">
        <w:rPr>
          <w:lang w:val="fr-FR"/>
        </w:rPr>
        <w:instrText xml:space="preserve"> SEQ level0 \*arabic </w:instrText>
      </w:r>
      <w:r w:rsidRPr="007F3E67">
        <w:rPr>
          <w:lang w:val="fr-FR"/>
        </w:rPr>
        <w:fldChar w:fldCharType="separate"/>
      </w:r>
      <w:r w:rsidR="007F3E67" w:rsidRPr="007F3E67">
        <w:rPr>
          <w:noProof/>
          <w:lang w:val="fr-FR"/>
        </w:rPr>
        <w:t>89</w:t>
      </w:r>
      <w:r w:rsidRPr="007F3E67">
        <w:rPr>
          <w:lang w:val="fr-FR"/>
        </w:rPr>
        <w:fldChar w:fldCharType="end"/>
      </w:r>
      <w:r w:rsidRPr="007F3E67">
        <w:rPr>
          <w:lang w:val="fr-FR"/>
        </w:rPr>
        <w:t>.  Partant, il convient de rayer l</w:t>
      </w:r>
      <w:r w:rsidR="007F3E67" w:rsidRPr="007F3E67">
        <w:rPr>
          <w:lang w:val="fr-FR"/>
        </w:rPr>
        <w:t>’</w:t>
      </w:r>
      <w:r w:rsidRPr="007F3E67">
        <w:rPr>
          <w:lang w:val="fr-FR"/>
        </w:rPr>
        <w:t xml:space="preserve">affaire du rôle en ce qui </w:t>
      </w:r>
      <w:r w:rsidR="006B20FB" w:rsidRPr="007F3E67">
        <w:rPr>
          <w:lang w:val="fr-FR"/>
        </w:rPr>
        <w:t xml:space="preserve">concerne les requérants figurant sous les numéros </w:t>
      </w:r>
      <w:r w:rsidR="00B22EF1" w:rsidRPr="007F3E67">
        <w:rPr>
          <w:lang w:val="fr-FR"/>
        </w:rPr>
        <w:t>5, 9-11, 14, 17</w:t>
      </w:r>
      <w:r w:rsidR="0028265B" w:rsidRPr="007F3E67">
        <w:rPr>
          <w:lang w:val="fr-FR"/>
        </w:rPr>
        <w:t xml:space="preserve"> et </w:t>
      </w:r>
      <w:r w:rsidR="00B22EF1" w:rsidRPr="007F3E67">
        <w:rPr>
          <w:lang w:val="fr-FR"/>
        </w:rPr>
        <w:t>18</w:t>
      </w:r>
      <w:r w:rsidR="004E176A" w:rsidRPr="007F3E67">
        <w:rPr>
          <w:lang w:val="fr-FR"/>
        </w:rPr>
        <w:t xml:space="preserve"> d</w:t>
      </w:r>
      <w:r w:rsidR="004133B6" w:rsidRPr="007F3E67">
        <w:rPr>
          <w:lang w:val="fr-FR"/>
        </w:rPr>
        <w:t>ans</w:t>
      </w:r>
      <w:r w:rsidR="006B20FB" w:rsidRPr="007F3E67">
        <w:rPr>
          <w:lang w:val="fr-FR"/>
        </w:rPr>
        <w:t xml:space="preserve"> la liste </w:t>
      </w:r>
      <w:r w:rsidR="004133B6" w:rsidRPr="007F3E67">
        <w:rPr>
          <w:lang w:val="fr-FR"/>
        </w:rPr>
        <w:t>en annexe</w:t>
      </w:r>
      <w:r w:rsidRPr="007F3E67">
        <w:rPr>
          <w:lang w:val="fr-FR"/>
        </w:rPr>
        <w:t>.</w:t>
      </w:r>
      <w:r w:rsidR="006B20FB" w:rsidRPr="007F3E67">
        <w:rPr>
          <w:lang w:val="fr-FR"/>
        </w:rPr>
        <w:t xml:space="preserve"> La Cour </w:t>
      </w:r>
      <w:r w:rsidR="004E176A" w:rsidRPr="007F3E67">
        <w:rPr>
          <w:lang w:val="fr-FR"/>
        </w:rPr>
        <w:t>poursuit</w:t>
      </w:r>
      <w:r w:rsidR="006B20FB" w:rsidRPr="007F3E67">
        <w:rPr>
          <w:lang w:val="fr-FR"/>
        </w:rPr>
        <w:t xml:space="preserve"> </w:t>
      </w:r>
      <w:r w:rsidRPr="007F3E67">
        <w:rPr>
          <w:lang w:val="fr-FR"/>
        </w:rPr>
        <w:t>l</w:t>
      </w:r>
      <w:r w:rsidR="007F3E67" w:rsidRPr="007F3E67">
        <w:rPr>
          <w:lang w:val="fr-FR"/>
        </w:rPr>
        <w:t>’</w:t>
      </w:r>
      <w:r w:rsidRPr="007F3E67">
        <w:rPr>
          <w:lang w:val="fr-FR"/>
        </w:rPr>
        <w:t>examen de la requête n</w:t>
      </w:r>
      <w:r w:rsidR="00301040" w:rsidRPr="007F3E67">
        <w:rPr>
          <w:vertAlign w:val="superscript"/>
          <w:lang w:val="fr-FR"/>
        </w:rPr>
        <w:t>o</w:t>
      </w:r>
      <w:r w:rsidRPr="007F3E67">
        <w:rPr>
          <w:lang w:val="fr-FR"/>
        </w:rPr>
        <w:t> </w:t>
      </w:r>
      <w:r w:rsidR="00EB2AC3" w:rsidRPr="007F3E67">
        <w:rPr>
          <w:lang w:val="fr-FR"/>
        </w:rPr>
        <w:t>67599/10</w:t>
      </w:r>
      <w:r w:rsidRPr="007F3E67">
        <w:rPr>
          <w:lang w:val="fr-FR"/>
        </w:rPr>
        <w:t xml:space="preserve"> à l</w:t>
      </w:r>
      <w:r w:rsidR="007F3E67" w:rsidRPr="007F3E67">
        <w:rPr>
          <w:lang w:val="fr-FR"/>
        </w:rPr>
        <w:t>’</w:t>
      </w:r>
      <w:r w:rsidRPr="007F3E67">
        <w:rPr>
          <w:lang w:val="fr-FR"/>
        </w:rPr>
        <w:t>égard des autres requérants.</w:t>
      </w:r>
    </w:p>
    <w:p w:rsidR="00624775" w:rsidRPr="007F3E67" w:rsidRDefault="00624775" w:rsidP="007F3E67">
      <w:pPr>
        <w:pStyle w:val="ECHRHeading2"/>
        <w:rPr>
          <w:lang w:val="fr-FR"/>
        </w:rPr>
      </w:pPr>
      <w:r w:rsidRPr="007F3E67">
        <w:rPr>
          <w:lang w:val="fr-FR"/>
        </w:rPr>
        <w:lastRenderedPageBreak/>
        <w:t>B.</w:t>
      </w:r>
      <w:r w:rsidR="002143EA" w:rsidRPr="007F3E67">
        <w:rPr>
          <w:lang w:val="fr-FR"/>
        </w:rPr>
        <w:t>  </w:t>
      </w:r>
      <w:r w:rsidRPr="007F3E67">
        <w:rPr>
          <w:lang w:val="fr-FR"/>
        </w:rPr>
        <w:t>Sur l</w:t>
      </w:r>
      <w:r w:rsidR="00022C19" w:rsidRPr="007F3E67">
        <w:rPr>
          <w:lang w:val="fr-FR"/>
        </w:rPr>
        <w:t>a</w:t>
      </w:r>
      <w:r w:rsidRPr="007F3E67">
        <w:rPr>
          <w:lang w:val="fr-FR"/>
        </w:rPr>
        <w:t xml:space="preserve"> requête n</w:t>
      </w:r>
      <w:r w:rsidR="00301040" w:rsidRPr="007F3E67">
        <w:rPr>
          <w:vertAlign w:val="superscript"/>
          <w:lang w:val="fr-FR"/>
        </w:rPr>
        <w:t>o</w:t>
      </w:r>
      <w:r w:rsidRPr="007F3E67">
        <w:rPr>
          <w:lang w:val="fr-FR"/>
        </w:rPr>
        <w:t> 28923/09 et</w:t>
      </w:r>
      <w:r w:rsidR="00022C19" w:rsidRPr="007F3E67">
        <w:rPr>
          <w:lang w:val="fr-FR"/>
        </w:rPr>
        <w:t xml:space="preserve"> la requête</w:t>
      </w:r>
      <w:r w:rsidRPr="007F3E67">
        <w:rPr>
          <w:lang w:val="fr-FR"/>
        </w:rPr>
        <w:t xml:space="preserve"> n</w:t>
      </w:r>
      <w:r w:rsidR="00301040" w:rsidRPr="007F3E67">
        <w:rPr>
          <w:vertAlign w:val="superscript"/>
          <w:lang w:val="fr-FR"/>
        </w:rPr>
        <w:t>o</w:t>
      </w:r>
      <w:r w:rsidRPr="007F3E67">
        <w:rPr>
          <w:lang w:val="fr-FR"/>
        </w:rPr>
        <w:t> 67599/10 en ce qui concerne les requérants figurant sous les numéros 1</w:t>
      </w:r>
      <w:r w:rsidR="00B22EF1" w:rsidRPr="007F3E67">
        <w:rPr>
          <w:lang w:val="fr-FR"/>
        </w:rPr>
        <w:t>-4</w:t>
      </w:r>
      <w:r w:rsidRPr="007F3E67">
        <w:rPr>
          <w:lang w:val="fr-FR"/>
        </w:rPr>
        <w:t>, 6</w:t>
      </w:r>
      <w:r w:rsidR="00B22EF1" w:rsidRPr="007F3E67">
        <w:rPr>
          <w:lang w:val="fr-FR"/>
        </w:rPr>
        <w:t>-8</w:t>
      </w:r>
      <w:r w:rsidRPr="007F3E67">
        <w:rPr>
          <w:lang w:val="fr-FR"/>
        </w:rPr>
        <w:t>, 1</w:t>
      </w:r>
      <w:r w:rsidR="00B22EF1" w:rsidRPr="007F3E67">
        <w:rPr>
          <w:lang w:val="fr-FR"/>
        </w:rPr>
        <w:t>2</w:t>
      </w:r>
      <w:r w:rsidR="0028265B" w:rsidRPr="007F3E67">
        <w:rPr>
          <w:lang w:val="fr-FR"/>
        </w:rPr>
        <w:t xml:space="preserve">, </w:t>
      </w:r>
      <w:r w:rsidR="00B22EF1" w:rsidRPr="007F3E67">
        <w:rPr>
          <w:lang w:val="fr-FR"/>
        </w:rPr>
        <w:t>13</w:t>
      </w:r>
      <w:r w:rsidRPr="007F3E67">
        <w:rPr>
          <w:lang w:val="fr-FR"/>
        </w:rPr>
        <w:t>, 15</w:t>
      </w:r>
      <w:r w:rsidR="0028265B" w:rsidRPr="007F3E67">
        <w:rPr>
          <w:lang w:val="fr-FR"/>
        </w:rPr>
        <w:t xml:space="preserve">, </w:t>
      </w:r>
      <w:r w:rsidR="00B22EF1" w:rsidRPr="007F3E67">
        <w:rPr>
          <w:lang w:val="fr-FR"/>
        </w:rPr>
        <w:t>16</w:t>
      </w:r>
      <w:r w:rsidR="0028265B" w:rsidRPr="007F3E67">
        <w:rPr>
          <w:lang w:val="fr-FR"/>
        </w:rPr>
        <w:t xml:space="preserve"> et</w:t>
      </w:r>
      <w:r w:rsidR="00B22EF1" w:rsidRPr="007F3E67">
        <w:rPr>
          <w:lang w:val="fr-FR"/>
        </w:rPr>
        <w:t xml:space="preserve"> 19</w:t>
      </w:r>
      <w:r w:rsidRPr="007F3E67">
        <w:rPr>
          <w:lang w:val="fr-FR"/>
        </w:rPr>
        <w:t xml:space="preserve"> d</w:t>
      </w:r>
      <w:r w:rsidR="00022C19" w:rsidRPr="007F3E67">
        <w:rPr>
          <w:lang w:val="fr-FR"/>
        </w:rPr>
        <w:t>an</w:t>
      </w:r>
      <w:r w:rsidRPr="007F3E67">
        <w:rPr>
          <w:lang w:val="fr-FR"/>
        </w:rPr>
        <w:t xml:space="preserve">s la liste </w:t>
      </w:r>
      <w:r w:rsidR="00022C19" w:rsidRPr="007F3E67">
        <w:rPr>
          <w:lang w:val="fr-FR"/>
        </w:rPr>
        <w:t xml:space="preserve">en </w:t>
      </w:r>
      <w:r w:rsidRPr="007F3E67">
        <w:rPr>
          <w:lang w:val="fr-FR"/>
        </w:rPr>
        <w:t>annexe</w:t>
      </w:r>
      <w:r w:rsidR="00000524" w:rsidRPr="007F3E67">
        <w:rPr>
          <w:lang w:val="fr-FR"/>
        </w:rPr>
        <w:t>.</w:t>
      </w:r>
    </w:p>
    <w:p w:rsidR="00624775" w:rsidRPr="007F3E67" w:rsidRDefault="00624775" w:rsidP="007F3E67">
      <w:pPr>
        <w:pStyle w:val="ECHRHeading3"/>
        <w:rPr>
          <w:lang w:val="fr-FR"/>
        </w:rPr>
      </w:pPr>
      <w:r w:rsidRPr="007F3E67">
        <w:rPr>
          <w:lang w:val="fr-FR"/>
        </w:rPr>
        <w:t>1.  </w:t>
      </w:r>
      <w:r w:rsidR="007141CA" w:rsidRPr="007F3E67">
        <w:rPr>
          <w:lang w:val="fr-FR"/>
        </w:rPr>
        <w:t>Objection préliminaire</w:t>
      </w:r>
    </w:p>
    <w:p w:rsidR="00AD4A55" w:rsidRPr="007F3E67" w:rsidRDefault="00AD4A55" w:rsidP="007F3E67">
      <w:pPr>
        <w:pStyle w:val="ECHRHeading4"/>
        <w:tabs>
          <w:tab w:val="clear" w:pos="975"/>
          <w:tab w:val="left" w:pos="567"/>
        </w:tabs>
        <w:ind w:left="709" w:hanging="74"/>
        <w:rPr>
          <w:lang w:val="fr-FR"/>
        </w:rPr>
      </w:pPr>
      <w:r w:rsidRPr="007F3E67">
        <w:rPr>
          <w:lang w:val="fr-FR"/>
        </w:rPr>
        <w:t>L</w:t>
      </w:r>
      <w:r w:rsidR="007F3E67" w:rsidRPr="007F3E67">
        <w:rPr>
          <w:lang w:val="fr-FR"/>
        </w:rPr>
        <w:t>’</w:t>
      </w:r>
      <w:r w:rsidRPr="007F3E67">
        <w:rPr>
          <w:lang w:val="fr-FR"/>
        </w:rPr>
        <w:t>exception du Gouvernement tirée de l</w:t>
      </w:r>
      <w:r w:rsidR="00393E57" w:rsidRPr="007F3E67">
        <w:rPr>
          <w:lang w:val="fr-FR"/>
        </w:rPr>
        <w:t>a tardiv</w:t>
      </w:r>
      <w:r w:rsidR="002143EA" w:rsidRPr="007F3E67">
        <w:rPr>
          <w:lang w:val="fr-FR"/>
        </w:rPr>
        <w:t>e</w:t>
      </w:r>
      <w:r w:rsidR="00393E57" w:rsidRPr="007F3E67">
        <w:rPr>
          <w:lang w:val="fr-FR"/>
        </w:rPr>
        <w:t>té des observations</w:t>
      </w:r>
      <w:r w:rsidR="006B20FB" w:rsidRPr="007F3E67">
        <w:rPr>
          <w:lang w:val="fr-FR"/>
        </w:rPr>
        <w:t xml:space="preserve"> et de la demande de satisfaction équitable</w:t>
      </w:r>
      <w:r w:rsidR="00393E57" w:rsidRPr="007F3E67">
        <w:rPr>
          <w:lang w:val="fr-FR"/>
        </w:rPr>
        <w:t xml:space="preserve"> </w:t>
      </w:r>
      <w:r w:rsidRPr="007F3E67">
        <w:rPr>
          <w:lang w:val="fr-FR"/>
        </w:rPr>
        <w:t>de</w:t>
      </w:r>
      <w:r w:rsidR="006B20FB" w:rsidRPr="007F3E67">
        <w:rPr>
          <w:lang w:val="fr-FR"/>
        </w:rPr>
        <w:t>s</w:t>
      </w:r>
      <w:r w:rsidR="00393E57" w:rsidRPr="007F3E67">
        <w:rPr>
          <w:lang w:val="fr-FR"/>
        </w:rPr>
        <w:t xml:space="preserve"> </w:t>
      </w:r>
      <w:r w:rsidR="006B20FB" w:rsidRPr="007F3E67">
        <w:rPr>
          <w:lang w:val="fr-FR"/>
        </w:rPr>
        <w:t>requérants</w:t>
      </w:r>
      <w:r w:rsidR="00393E57" w:rsidRPr="007F3E67">
        <w:rPr>
          <w:lang w:val="fr-FR"/>
        </w:rPr>
        <w:t xml:space="preserve"> </w:t>
      </w:r>
      <w:r w:rsidRPr="007F3E67">
        <w:rPr>
          <w:lang w:val="fr-FR"/>
        </w:rPr>
        <w:t>de la requête n</w:t>
      </w:r>
      <w:r w:rsidR="00301040" w:rsidRPr="007F3E67">
        <w:rPr>
          <w:vertAlign w:val="superscript"/>
          <w:lang w:val="fr-FR"/>
        </w:rPr>
        <w:t>o</w:t>
      </w:r>
      <w:r w:rsidR="006B20FB" w:rsidRPr="007F3E67">
        <w:rPr>
          <w:lang w:val="fr-FR"/>
        </w:rPr>
        <w:t> </w:t>
      </w:r>
      <w:r w:rsidRPr="007F3E67">
        <w:rPr>
          <w:lang w:val="fr-FR"/>
        </w:rPr>
        <w:t>67599/10</w:t>
      </w:r>
    </w:p>
    <w:p w:rsidR="00E127B6" w:rsidRPr="007F3E67" w:rsidRDefault="00AD4A55" w:rsidP="007F3E67">
      <w:pPr>
        <w:pStyle w:val="ECHRPara"/>
        <w:rPr>
          <w:lang w:val="fr-FR"/>
        </w:rPr>
      </w:pPr>
      <w:r w:rsidRPr="007F3E67">
        <w:rPr>
          <w:lang w:val="fr-FR"/>
        </w:rPr>
        <w:fldChar w:fldCharType="begin"/>
      </w:r>
      <w:r w:rsidRPr="007F3E67">
        <w:rPr>
          <w:lang w:val="fr-FR"/>
        </w:rPr>
        <w:instrText xml:space="preserve"> SEQ level0 \*arabic </w:instrText>
      </w:r>
      <w:r w:rsidRPr="007F3E67">
        <w:rPr>
          <w:lang w:val="fr-FR"/>
        </w:rPr>
        <w:fldChar w:fldCharType="separate"/>
      </w:r>
      <w:r w:rsidR="007F3E67" w:rsidRPr="007F3E67">
        <w:rPr>
          <w:noProof/>
          <w:lang w:val="fr-FR"/>
        </w:rPr>
        <w:t>90</w:t>
      </w:r>
      <w:r w:rsidRPr="007F3E67">
        <w:rPr>
          <w:lang w:val="fr-FR"/>
        </w:rPr>
        <w:fldChar w:fldCharType="end"/>
      </w:r>
      <w:r w:rsidRPr="007F3E67">
        <w:rPr>
          <w:lang w:val="fr-FR"/>
        </w:rPr>
        <w:t xml:space="preserve">.  Le Gouvernement </w:t>
      </w:r>
      <w:r w:rsidR="005C722F" w:rsidRPr="007F3E67">
        <w:rPr>
          <w:lang w:val="fr-FR"/>
        </w:rPr>
        <w:t xml:space="preserve">soutient </w:t>
      </w:r>
      <w:r w:rsidR="002507BF" w:rsidRPr="007F3E67">
        <w:rPr>
          <w:lang w:val="fr-FR"/>
        </w:rPr>
        <w:t>d</w:t>
      </w:r>
      <w:r w:rsidR="007F3E67" w:rsidRPr="007F3E67">
        <w:rPr>
          <w:lang w:val="fr-FR"/>
        </w:rPr>
        <w:t>’</w:t>
      </w:r>
      <w:r w:rsidR="002507BF" w:rsidRPr="007F3E67">
        <w:rPr>
          <w:lang w:val="fr-FR"/>
        </w:rPr>
        <w:t xml:space="preserve">emblée </w:t>
      </w:r>
      <w:r w:rsidR="005C722F" w:rsidRPr="007F3E67">
        <w:rPr>
          <w:lang w:val="fr-FR"/>
        </w:rPr>
        <w:t xml:space="preserve">que les </w:t>
      </w:r>
      <w:r w:rsidRPr="007F3E67">
        <w:rPr>
          <w:lang w:val="fr-FR"/>
        </w:rPr>
        <w:t xml:space="preserve">observations </w:t>
      </w:r>
      <w:r w:rsidR="002507BF" w:rsidRPr="007F3E67">
        <w:rPr>
          <w:lang w:val="fr-FR"/>
        </w:rPr>
        <w:t>et l</w:t>
      </w:r>
      <w:r w:rsidR="00FD0B63" w:rsidRPr="007F3E67">
        <w:rPr>
          <w:lang w:val="fr-FR"/>
        </w:rPr>
        <w:t>es</w:t>
      </w:r>
      <w:r w:rsidR="002507BF" w:rsidRPr="007F3E67">
        <w:rPr>
          <w:lang w:val="fr-FR"/>
        </w:rPr>
        <w:t xml:space="preserve"> demande</w:t>
      </w:r>
      <w:r w:rsidR="00B22EF1" w:rsidRPr="007F3E67">
        <w:rPr>
          <w:lang w:val="fr-FR"/>
        </w:rPr>
        <w:t>s</w:t>
      </w:r>
      <w:r w:rsidR="002507BF" w:rsidRPr="007F3E67">
        <w:rPr>
          <w:lang w:val="fr-FR"/>
        </w:rPr>
        <w:t xml:space="preserve"> de satisfaction équitable </w:t>
      </w:r>
      <w:r w:rsidR="005C722F" w:rsidRPr="007F3E67">
        <w:rPr>
          <w:lang w:val="fr-FR"/>
        </w:rPr>
        <w:t>de</w:t>
      </w:r>
      <w:r w:rsidR="002507BF" w:rsidRPr="007F3E67">
        <w:rPr>
          <w:lang w:val="fr-FR"/>
        </w:rPr>
        <w:t>s</w:t>
      </w:r>
      <w:r w:rsidR="004032F3" w:rsidRPr="007F3E67">
        <w:rPr>
          <w:lang w:val="fr-FR"/>
        </w:rPr>
        <w:t xml:space="preserve"> requérant</w:t>
      </w:r>
      <w:r w:rsidR="002507BF" w:rsidRPr="007F3E67">
        <w:rPr>
          <w:lang w:val="fr-FR"/>
        </w:rPr>
        <w:t>s</w:t>
      </w:r>
      <w:r w:rsidR="005C722F" w:rsidRPr="007F3E67">
        <w:rPr>
          <w:lang w:val="fr-FR"/>
        </w:rPr>
        <w:t xml:space="preserve"> de la requête n</w:t>
      </w:r>
      <w:r w:rsidR="00301040" w:rsidRPr="007F3E67">
        <w:rPr>
          <w:vertAlign w:val="superscript"/>
          <w:lang w:val="fr-FR"/>
        </w:rPr>
        <w:t>o</w:t>
      </w:r>
      <w:r w:rsidR="005C722F" w:rsidRPr="007F3E67">
        <w:rPr>
          <w:lang w:val="fr-FR"/>
        </w:rPr>
        <w:t xml:space="preserve"> 67599/10 </w:t>
      </w:r>
      <w:r w:rsidR="0028265B" w:rsidRPr="007F3E67">
        <w:rPr>
          <w:lang w:val="fr-FR"/>
        </w:rPr>
        <w:t>o</w:t>
      </w:r>
      <w:r w:rsidR="00FD0B63" w:rsidRPr="007F3E67">
        <w:rPr>
          <w:lang w:val="fr-FR"/>
        </w:rPr>
        <w:t>n</w:t>
      </w:r>
      <w:r w:rsidR="005C722F" w:rsidRPr="007F3E67">
        <w:rPr>
          <w:lang w:val="fr-FR"/>
        </w:rPr>
        <w:t>t été présentées tardivement</w:t>
      </w:r>
      <w:r w:rsidR="004032F3" w:rsidRPr="007F3E67">
        <w:rPr>
          <w:lang w:val="fr-FR"/>
        </w:rPr>
        <w:t xml:space="preserve">. Il </w:t>
      </w:r>
      <w:r w:rsidR="00FD0B63" w:rsidRPr="007F3E67">
        <w:rPr>
          <w:lang w:val="fr-FR"/>
        </w:rPr>
        <w:t>indique</w:t>
      </w:r>
      <w:r w:rsidR="004032F3" w:rsidRPr="007F3E67">
        <w:rPr>
          <w:lang w:val="fr-FR"/>
        </w:rPr>
        <w:t xml:space="preserve"> que la date </w:t>
      </w:r>
      <w:r w:rsidR="000321C2" w:rsidRPr="007F3E67">
        <w:rPr>
          <w:lang w:val="fr-FR"/>
        </w:rPr>
        <w:t xml:space="preserve">assignée </w:t>
      </w:r>
      <w:r w:rsidR="005C722F" w:rsidRPr="007F3E67">
        <w:rPr>
          <w:lang w:val="fr-FR"/>
        </w:rPr>
        <w:t>aux requérants</w:t>
      </w:r>
      <w:r w:rsidR="00B22EF1" w:rsidRPr="007F3E67">
        <w:rPr>
          <w:lang w:val="fr-FR"/>
        </w:rPr>
        <w:t xml:space="preserve"> </w:t>
      </w:r>
      <w:r w:rsidR="000321C2" w:rsidRPr="007F3E67">
        <w:rPr>
          <w:lang w:val="fr-FR"/>
        </w:rPr>
        <w:t>par la Cour pour le dépôt de leurs</w:t>
      </w:r>
      <w:r w:rsidR="00B22EF1" w:rsidRPr="007F3E67">
        <w:rPr>
          <w:lang w:val="fr-FR"/>
        </w:rPr>
        <w:t xml:space="preserve"> observations et demandes de satisfaction équitable</w:t>
      </w:r>
      <w:r w:rsidR="005C722F" w:rsidRPr="007F3E67">
        <w:rPr>
          <w:lang w:val="fr-FR"/>
        </w:rPr>
        <w:t xml:space="preserve"> </w:t>
      </w:r>
      <w:r w:rsidR="004032F3" w:rsidRPr="007F3E67">
        <w:rPr>
          <w:lang w:val="fr-FR"/>
        </w:rPr>
        <w:t>était le 21 février 2013 et que</w:t>
      </w:r>
      <w:r w:rsidR="005C722F" w:rsidRPr="007F3E67">
        <w:rPr>
          <w:lang w:val="fr-FR"/>
        </w:rPr>
        <w:t xml:space="preserve"> </w:t>
      </w:r>
      <w:r w:rsidR="00FD0B63" w:rsidRPr="007F3E67">
        <w:rPr>
          <w:lang w:val="fr-FR"/>
        </w:rPr>
        <w:t>celles-ci</w:t>
      </w:r>
      <w:r w:rsidR="005C722F" w:rsidRPr="007F3E67">
        <w:rPr>
          <w:lang w:val="fr-FR"/>
        </w:rPr>
        <w:t xml:space="preserve"> </w:t>
      </w:r>
      <w:r w:rsidR="00B72495" w:rsidRPr="007F3E67">
        <w:rPr>
          <w:lang w:val="fr-FR"/>
        </w:rPr>
        <w:t>n</w:t>
      </w:r>
      <w:r w:rsidR="007F3E67" w:rsidRPr="007F3E67">
        <w:rPr>
          <w:lang w:val="fr-FR"/>
        </w:rPr>
        <w:t>’</w:t>
      </w:r>
      <w:r w:rsidR="005C722F" w:rsidRPr="007F3E67">
        <w:rPr>
          <w:lang w:val="fr-FR"/>
        </w:rPr>
        <w:t xml:space="preserve">auraient été </w:t>
      </w:r>
      <w:r w:rsidR="003F0EBB" w:rsidRPr="007F3E67">
        <w:rPr>
          <w:lang w:val="fr-FR"/>
        </w:rPr>
        <w:t>reçues</w:t>
      </w:r>
      <w:r w:rsidR="005C722F" w:rsidRPr="007F3E67">
        <w:rPr>
          <w:lang w:val="fr-FR"/>
        </w:rPr>
        <w:t xml:space="preserve"> </w:t>
      </w:r>
      <w:r w:rsidR="00B72495" w:rsidRPr="007F3E67">
        <w:rPr>
          <w:lang w:val="fr-FR"/>
        </w:rPr>
        <w:t xml:space="preserve">par la Cour que </w:t>
      </w:r>
      <w:r w:rsidR="005C722F" w:rsidRPr="007F3E67">
        <w:rPr>
          <w:lang w:val="fr-FR"/>
        </w:rPr>
        <w:t>le 27 février 2013</w:t>
      </w:r>
      <w:r w:rsidR="007D3616" w:rsidRPr="007F3E67">
        <w:rPr>
          <w:lang w:val="fr-FR"/>
        </w:rPr>
        <w:t>.</w:t>
      </w:r>
    </w:p>
    <w:p w:rsidR="00301040" w:rsidRPr="007F3E67" w:rsidRDefault="00E127B6" w:rsidP="007F3E67">
      <w:pPr>
        <w:pStyle w:val="ECHRPara"/>
        <w:rPr>
          <w:lang w:val="fr-FR"/>
        </w:rPr>
      </w:pPr>
      <w:r w:rsidRPr="007F3E67">
        <w:rPr>
          <w:lang w:val="fr-FR"/>
        </w:rPr>
        <w:fldChar w:fldCharType="begin"/>
      </w:r>
      <w:r w:rsidRPr="007F3E67">
        <w:rPr>
          <w:lang w:val="fr-FR"/>
        </w:rPr>
        <w:instrText xml:space="preserve"> SEQ level0 \*arabic </w:instrText>
      </w:r>
      <w:r w:rsidRPr="007F3E67">
        <w:rPr>
          <w:lang w:val="fr-FR"/>
        </w:rPr>
        <w:fldChar w:fldCharType="separate"/>
      </w:r>
      <w:r w:rsidR="007F3E67" w:rsidRPr="007F3E67">
        <w:rPr>
          <w:noProof/>
          <w:lang w:val="fr-FR"/>
        </w:rPr>
        <w:t>91</w:t>
      </w:r>
      <w:r w:rsidRPr="007F3E67">
        <w:rPr>
          <w:lang w:val="fr-FR"/>
        </w:rPr>
        <w:fldChar w:fldCharType="end"/>
      </w:r>
      <w:r w:rsidRPr="007F3E67">
        <w:rPr>
          <w:lang w:val="fr-FR"/>
        </w:rPr>
        <w:t>.  La Cour rappelle qu</w:t>
      </w:r>
      <w:r w:rsidR="00B72495" w:rsidRPr="007F3E67">
        <w:rPr>
          <w:lang w:val="fr-FR"/>
        </w:rPr>
        <w:t xml:space="preserve">e, </w:t>
      </w:r>
      <w:r w:rsidR="004F6E7B" w:rsidRPr="007F3E67">
        <w:rPr>
          <w:lang w:val="fr-FR"/>
        </w:rPr>
        <w:t>selon</w:t>
      </w:r>
      <w:r w:rsidRPr="007F3E67">
        <w:rPr>
          <w:lang w:val="fr-FR"/>
        </w:rPr>
        <w:t xml:space="preserve"> l</w:t>
      </w:r>
      <w:r w:rsidR="007F3E67" w:rsidRPr="007F3E67">
        <w:rPr>
          <w:lang w:val="fr-FR"/>
        </w:rPr>
        <w:t>’</w:t>
      </w:r>
      <w:r w:rsidRPr="007F3E67">
        <w:rPr>
          <w:lang w:val="fr-FR"/>
        </w:rPr>
        <w:t xml:space="preserve">article 38 § 1 </w:t>
      </w:r>
      <w:r w:rsidR="00836F9C" w:rsidRPr="007F3E67">
        <w:rPr>
          <w:lang w:val="fr-FR"/>
        </w:rPr>
        <w:t xml:space="preserve">de son </w:t>
      </w:r>
      <w:r w:rsidRPr="007F3E67">
        <w:rPr>
          <w:lang w:val="fr-FR"/>
        </w:rPr>
        <w:t>règlement, les observations écrites</w:t>
      </w:r>
      <w:r w:rsidR="002507BF" w:rsidRPr="007F3E67">
        <w:rPr>
          <w:lang w:val="fr-FR"/>
        </w:rPr>
        <w:t xml:space="preserve"> </w:t>
      </w:r>
      <w:r w:rsidRPr="007F3E67">
        <w:rPr>
          <w:lang w:val="fr-FR"/>
        </w:rPr>
        <w:t>doivent être déposé</w:t>
      </w:r>
      <w:r w:rsidR="002507BF" w:rsidRPr="007F3E67">
        <w:rPr>
          <w:lang w:val="fr-FR"/>
        </w:rPr>
        <w:t>e</w:t>
      </w:r>
      <w:r w:rsidRPr="007F3E67">
        <w:rPr>
          <w:lang w:val="fr-FR"/>
        </w:rPr>
        <w:t>s dans le délai fixé par le président de la chambre ou par le juge rapporteur et que, sauf décision contraire du président de la chambre, les observations tardive</w:t>
      </w:r>
      <w:r w:rsidR="002507BF" w:rsidRPr="007F3E67">
        <w:rPr>
          <w:lang w:val="fr-FR"/>
        </w:rPr>
        <w:t>s</w:t>
      </w:r>
      <w:r w:rsidRPr="007F3E67">
        <w:rPr>
          <w:lang w:val="fr-FR"/>
        </w:rPr>
        <w:t xml:space="preserve"> ne peuvent être versées au dossier. </w:t>
      </w:r>
      <w:r w:rsidR="008F2098" w:rsidRPr="007F3E67">
        <w:rPr>
          <w:lang w:val="fr-FR"/>
        </w:rPr>
        <w:t>Elle rappelle également qu</w:t>
      </w:r>
      <w:r w:rsidR="004F6E7B" w:rsidRPr="007F3E67">
        <w:rPr>
          <w:lang w:val="fr-FR"/>
        </w:rPr>
        <w:t xml:space="preserve">e, </w:t>
      </w:r>
      <w:r w:rsidR="008F2098" w:rsidRPr="007F3E67">
        <w:rPr>
          <w:lang w:val="fr-FR"/>
        </w:rPr>
        <w:t>au</w:t>
      </w:r>
      <w:r w:rsidR="00AE3F99" w:rsidRPr="007F3E67">
        <w:rPr>
          <w:lang w:val="fr-FR"/>
        </w:rPr>
        <w:t>x</w:t>
      </w:r>
      <w:r w:rsidR="008F2098" w:rsidRPr="007F3E67">
        <w:rPr>
          <w:lang w:val="fr-FR"/>
        </w:rPr>
        <w:t xml:space="preserve"> terme</w:t>
      </w:r>
      <w:r w:rsidR="00AE3F99" w:rsidRPr="007F3E67">
        <w:rPr>
          <w:lang w:val="fr-FR"/>
        </w:rPr>
        <w:t>s</w:t>
      </w:r>
      <w:r w:rsidR="008F2098" w:rsidRPr="007F3E67">
        <w:rPr>
          <w:lang w:val="fr-FR"/>
        </w:rPr>
        <w:t xml:space="preserve"> du deuxième paragraphe du même article, c</w:t>
      </w:r>
      <w:r w:rsidR="007F3E67" w:rsidRPr="007F3E67">
        <w:rPr>
          <w:lang w:val="fr-FR"/>
        </w:rPr>
        <w:t>’</w:t>
      </w:r>
      <w:r w:rsidR="008F2098" w:rsidRPr="007F3E67">
        <w:rPr>
          <w:lang w:val="fr-FR"/>
        </w:rPr>
        <w:t>est la date certifiée de l</w:t>
      </w:r>
      <w:r w:rsidR="007F3E67" w:rsidRPr="007F3E67">
        <w:rPr>
          <w:lang w:val="fr-FR"/>
        </w:rPr>
        <w:t>’</w:t>
      </w:r>
      <w:r w:rsidR="008F2098" w:rsidRPr="007F3E67">
        <w:rPr>
          <w:lang w:val="fr-FR"/>
        </w:rPr>
        <w:t xml:space="preserve">envoi du document </w:t>
      </w:r>
      <w:r w:rsidR="004F6E7B" w:rsidRPr="007F3E67">
        <w:rPr>
          <w:lang w:val="fr-FR"/>
        </w:rPr>
        <w:t>qui est</w:t>
      </w:r>
      <w:r w:rsidR="008F2098" w:rsidRPr="007F3E67">
        <w:rPr>
          <w:lang w:val="fr-FR"/>
        </w:rPr>
        <w:t xml:space="preserve"> prise en compte pour le calcul du délai </w:t>
      </w:r>
      <w:r w:rsidR="00AE3F99" w:rsidRPr="007F3E67">
        <w:rPr>
          <w:lang w:val="fr-FR"/>
        </w:rPr>
        <w:t>et qu</w:t>
      </w:r>
      <w:r w:rsidR="004F6E7B" w:rsidRPr="007F3E67">
        <w:rPr>
          <w:lang w:val="fr-FR"/>
        </w:rPr>
        <w:t xml:space="preserve">e, </w:t>
      </w:r>
      <w:r w:rsidR="008F2098" w:rsidRPr="007F3E67">
        <w:rPr>
          <w:lang w:val="fr-FR"/>
        </w:rPr>
        <w:t>à défaut</w:t>
      </w:r>
      <w:r w:rsidR="004F6E7B" w:rsidRPr="007F3E67">
        <w:rPr>
          <w:lang w:val="fr-FR"/>
        </w:rPr>
        <w:t>,</w:t>
      </w:r>
      <w:r w:rsidR="008F2098" w:rsidRPr="007F3E67">
        <w:rPr>
          <w:lang w:val="fr-FR"/>
        </w:rPr>
        <w:t xml:space="preserve"> </w:t>
      </w:r>
      <w:r w:rsidR="004F6E7B" w:rsidRPr="007F3E67">
        <w:rPr>
          <w:lang w:val="fr-FR"/>
        </w:rPr>
        <w:t>elle</w:t>
      </w:r>
      <w:r w:rsidR="008F2098" w:rsidRPr="007F3E67">
        <w:rPr>
          <w:lang w:val="fr-FR"/>
        </w:rPr>
        <w:t xml:space="preserve"> tien</w:t>
      </w:r>
      <w:r w:rsidR="002507BF" w:rsidRPr="007F3E67">
        <w:rPr>
          <w:lang w:val="fr-FR"/>
        </w:rPr>
        <w:t>t</w:t>
      </w:r>
      <w:r w:rsidR="008F2098" w:rsidRPr="007F3E67">
        <w:rPr>
          <w:lang w:val="fr-FR"/>
        </w:rPr>
        <w:t xml:space="preserve"> compte de la date de réception du document.</w:t>
      </w:r>
    </w:p>
    <w:p w:rsidR="005B1238" w:rsidRPr="007F3E67" w:rsidRDefault="00E127B6" w:rsidP="007F3E67">
      <w:pPr>
        <w:pStyle w:val="ECHRPara"/>
        <w:rPr>
          <w:lang w:val="fr-FR"/>
        </w:rPr>
      </w:pPr>
      <w:r w:rsidRPr="007F3E67">
        <w:rPr>
          <w:lang w:val="fr-FR"/>
        </w:rPr>
        <w:fldChar w:fldCharType="begin"/>
      </w:r>
      <w:r w:rsidRPr="007F3E67">
        <w:rPr>
          <w:lang w:val="fr-FR"/>
        </w:rPr>
        <w:instrText xml:space="preserve"> SEQ level0 \*arabic </w:instrText>
      </w:r>
      <w:r w:rsidRPr="007F3E67">
        <w:rPr>
          <w:lang w:val="fr-FR"/>
        </w:rPr>
        <w:fldChar w:fldCharType="separate"/>
      </w:r>
      <w:r w:rsidR="007F3E67" w:rsidRPr="007F3E67">
        <w:rPr>
          <w:noProof/>
          <w:lang w:val="fr-FR"/>
        </w:rPr>
        <w:t>92</w:t>
      </w:r>
      <w:r w:rsidRPr="007F3E67">
        <w:rPr>
          <w:lang w:val="fr-FR"/>
        </w:rPr>
        <w:fldChar w:fldCharType="end"/>
      </w:r>
      <w:r w:rsidRPr="007F3E67">
        <w:rPr>
          <w:lang w:val="fr-FR"/>
        </w:rPr>
        <w:t>.  </w:t>
      </w:r>
      <w:r w:rsidR="008F2098" w:rsidRPr="007F3E67">
        <w:rPr>
          <w:lang w:val="fr-FR"/>
        </w:rPr>
        <w:t>Dans le cas d</w:t>
      </w:r>
      <w:r w:rsidR="007F3E67" w:rsidRPr="007F3E67">
        <w:rPr>
          <w:lang w:val="fr-FR"/>
        </w:rPr>
        <w:t>’</w:t>
      </w:r>
      <w:r w:rsidR="008F2098" w:rsidRPr="007F3E67">
        <w:rPr>
          <w:lang w:val="fr-FR"/>
        </w:rPr>
        <w:t>espèce</w:t>
      </w:r>
      <w:r w:rsidR="004F6E7B" w:rsidRPr="007F3E67">
        <w:rPr>
          <w:lang w:val="fr-FR"/>
        </w:rPr>
        <w:t>, elle</w:t>
      </w:r>
      <w:r w:rsidR="008F2098" w:rsidRPr="007F3E67">
        <w:rPr>
          <w:lang w:val="fr-FR"/>
        </w:rPr>
        <w:t xml:space="preserve"> relève que les observations </w:t>
      </w:r>
      <w:r w:rsidR="0028265B" w:rsidRPr="007F3E67">
        <w:rPr>
          <w:lang w:val="fr-FR"/>
        </w:rPr>
        <w:t>litigieuses</w:t>
      </w:r>
      <w:r w:rsidR="008F2098" w:rsidRPr="007F3E67">
        <w:rPr>
          <w:lang w:val="fr-FR"/>
        </w:rPr>
        <w:t xml:space="preserve"> ont été envoyées le 21 février 2013, dernier jour du délai assigné à la partie requérante. </w:t>
      </w:r>
      <w:r w:rsidR="002507BF" w:rsidRPr="007F3E67">
        <w:rPr>
          <w:lang w:val="fr-FR"/>
        </w:rPr>
        <w:t>Il s</w:t>
      </w:r>
      <w:r w:rsidR="007F3E67" w:rsidRPr="007F3E67">
        <w:rPr>
          <w:lang w:val="fr-FR"/>
        </w:rPr>
        <w:t>’</w:t>
      </w:r>
      <w:r w:rsidR="002507BF" w:rsidRPr="007F3E67">
        <w:rPr>
          <w:lang w:val="fr-FR"/>
        </w:rPr>
        <w:t>ensuit que les observations et l</w:t>
      </w:r>
      <w:r w:rsidR="00FD0B63" w:rsidRPr="007F3E67">
        <w:rPr>
          <w:lang w:val="fr-FR"/>
        </w:rPr>
        <w:t>es</w:t>
      </w:r>
      <w:r w:rsidR="002507BF" w:rsidRPr="007F3E67">
        <w:rPr>
          <w:lang w:val="fr-FR"/>
        </w:rPr>
        <w:t xml:space="preserve"> demande</w:t>
      </w:r>
      <w:r w:rsidR="00FD0B63" w:rsidRPr="007F3E67">
        <w:rPr>
          <w:lang w:val="fr-FR"/>
        </w:rPr>
        <w:t>s</w:t>
      </w:r>
      <w:r w:rsidR="002507BF" w:rsidRPr="007F3E67">
        <w:rPr>
          <w:lang w:val="fr-FR"/>
        </w:rPr>
        <w:t xml:space="preserve"> de satisfaction équitable ne s</w:t>
      </w:r>
      <w:r w:rsidR="00FD0B63" w:rsidRPr="007F3E67">
        <w:rPr>
          <w:lang w:val="fr-FR"/>
        </w:rPr>
        <w:t>auraient</w:t>
      </w:r>
      <w:r w:rsidR="002507BF" w:rsidRPr="007F3E67">
        <w:rPr>
          <w:lang w:val="fr-FR"/>
        </w:rPr>
        <w:t xml:space="preserve"> </w:t>
      </w:r>
      <w:r w:rsidR="00FD0B63" w:rsidRPr="007F3E67">
        <w:rPr>
          <w:lang w:val="fr-FR"/>
        </w:rPr>
        <w:t>être considérées comme</w:t>
      </w:r>
      <w:r w:rsidR="002507BF" w:rsidRPr="007F3E67">
        <w:rPr>
          <w:lang w:val="fr-FR"/>
        </w:rPr>
        <w:t xml:space="preserve"> tardives.</w:t>
      </w:r>
    </w:p>
    <w:p w:rsidR="007141CA" w:rsidRPr="007F3E67" w:rsidRDefault="00FA14C8" w:rsidP="007F3E67">
      <w:pPr>
        <w:pStyle w:val="ECHRHeading3"/>
        <w:rPr>
          <w:lang w:val="fr-FR"/>
        </w:rPr>
      </w:pPr>
      <w:r w:rsidRPr="007F3E67">
        <w:rPr>
          <w:lang w:val="fr-FR"/>
        </w:rPr>
        <w:t>2</w:t>
      </w:r>
      <w:r w:rsidR="007141CA" w:rsidRPr="007F3E67">
        <w:rPr>
          <w:lang w:val="fr-FR"/>
        </w:rPr>
        <w:t>.  Sur la recevabilité</w:t>
      </w:r>
    </w:p>
    <w:p w:rsidR="005018FB" w:rsidRPr="007F3E67" w:rsidRDefault="007141CA" w:rsidP="007F3E67">
      <w:pPr>
        <w:pStyle w:val="ECHRHeading4"/>
        <w:rPr>
          <w:lang w:val="fr-FR"/>
        </w:rPr>
      </w:pPr>
      <w:r w:rsidRPr="007F3E67">
        <w:rPr>
          <w:lang w:val="fr-FR"/>
        </w:rPr>
        <w:t>a</w:t>
      </w:r>
      <w:r w:rsidR="00AD4A55" w:rsidRPr="007F3E67">
        <w:rPr>
          <w:lang w:val="fr-FR"/>
        </w:rPr>
        <w:t>)</w:t>
      </w:r>
      <w:r w:rsidR="005670AC" w:rsidRPr="007F3E67">
        <w:rPr>
          <w:lang w:val="fr-FR"/>
        </w:rPr>
        <w:t>  </w:t>
      </w:r>
      <w:r w:rsidR="005018FB" w:rsidRPr="007F3E67">
        <w:rPr>
          <w:lang w:val="fr-FR"/>
        </w:rPr>
        <w:t>L</w:t>
      </w:r>
      <w:r w:rsidR="007F3E67" w:rsidRPr="007F3E67">
        <w:rPr>
          <w:lang w:val="fr-FR"/>
        </w:rPr>
        <w:t>’</w:t>
      </w:r>
      <w:r w:rsidR="005018FB" w:rsidRPr="007F3E67">
        <w:rPr>
          <w:lang w:val="fr-FR"/>
        </w:rPr>
        <w:t>exception du Gouvernement tirée de la perte de la qualité de victime</w:t>
      </w:r>
    </w:p>
    <w:p w:rsidR="005018FB" w:rsidRPr="007F3E67" w:rsidRDefault="005018FB" w:rsidP="007F3E67">
      <w:pPr>
        <w:pStyle w:val="ECHRHeading5"/>
        <w:rPr>
          <w:lang w:val="fr-FR"/>
        </w:rPr>
      </w:pPr>
      <w:r w:rsidRPr="007F3E67">
        <w:rPr>
          <w:lang w:val="fr-FR"/>
        </w:rPr>
        <w:t>i.</w:t>
      </w:r>
      <w:r w:rsidR="004F6E7B" w:rsidRPr="007F3E67">
        <w:rPr>
          <w:lang w:val="fr-FR"/>
        </w:rPr>
        <w:t>  </w:t>
      </w:r>
      <w:r w:rsidRPr="007F3E67">
        <w:rPr>
          <w:lang w:val="fr-FR"/>
        </w:rPr>
        <w:t>Thèses des parties</w:t>
      </w:r>
    </w:p>
    <w:bookmarkStart w:id="14" w:name="qualité_victime"/>
    <w:p w:rsidR="0092690B" w:rsidRPr="007F3E67" w:rsidRDefault="003113E9" w:rsidP="007F3E67">
      <w:pPr>
        <w:pStyle w:val="ECHRPara"/>
        <w:rPr>
          <w:i/>
          <w:szCs w:val="24"/>
          <w:lang w:val="fr-FR"/>
        </w:rPr>
      </w:pPr>
      <w:r w:rsidRPr="007F3E67">
        <w:rPr>
          <w:lang w:val="fr-FR"/>
        </w:rPr>
        <w:fldChar w:fldCharType="begin"/>
      </w:r>
      <w:r w:rsidRPr="007F3E67">
        <w:rPr>
          <w:lang w:val="fr-FR"/>
        </w:rPr>
        <w:instrText xml:space="preserve"> SEQ level0 \*arabic </w:instrText>
      </w:r>
      <w:r w:rsidRPr="007F3E67">
        <w:rPr>
          <w:lang w:val="fr-FR"/>
        </w:rPr>
        <w:fldChar w:fldCharType="separate"/>
      </w:r>
      <w:r w:rsidR="007F3E67" w:rsidRPr="007F3E67">
        <w:rPr>
          <w:noProof/>
          <w:lang w:val="fr-FR"/>
        </w:rPr>
        <w:t>93</w:t>
      </w:r>
      <w:r w:rsidRPr="007F3E67">
        <w:rPr>
          <w:lang w:val="fr-FR"/>
        </w:rPr>
        <w:fldChar w:fldCharType="end"/>
      </w:r>
      <w:bookmarkEnd w:id="14"/>
      <w:r w:rsidRPr="007F3E67">
        <w:rPr>
          <w:lang w:val="fr-FR"/>
        </w:rPr>
        <w:t>.  L</w:t>
      </w:r>
      <w:r w:rsidR="00074448" w:rsidRPr="007F3E67">
        <w:rPr>
          <w:lang w:val="fr-FR"/>
        </w:rPr>
        <w:t xml:space="preserve">e Gouvernement défendeur </w:t>
      </w:r>
      <w:r w:rsidR="004F6E7B" w:rsidRPr="007F3E67">
        <w:rPr>
          <w:lang w:val="fr-FR"/>
        </w:rPr>
        <w:t xml:space="preserve">soutient </w:t>
      </w:r>
      <w:r w:rsidR="00074448" w:rsidRPr="007F3E67">
        <w:rPr>
          <w:lang w:val="fr-FR"/>
        </w:rPr>
        <w:t xml:space="preserve">que les requérants </w:t>
      </w:r>
      <w:r w:rsidR="004F6E7B" w:rsidRPr="007F3E67">
        <w:rPr>
          <w:lang w:val="fr-FR"/>
        </w:rPr>
        <w:t xml:space="preserve">ont </w:t>
      </w:r>
      <w:r w:rsidR="00074448" w:rsidRPr="007F3E67">
        <w:rPr>
          <w:lang w:val="fr-FR"/>
        </w:rPr>
        <w:t>perdu leur qualité de « victime »</w:t>
      </w:r>
      <w:r w:rsidR="00E83967" w:rsidRPr="007F3E67">
        <w:rPr>
          <w:lang w:val="fr-FR"/>
        </w:rPr>
        <w:t>.</w:t>
      </w:r>
      <w:r w:rsidR="00CF0B6E" w:rsidRPr="007F3E67">
        <w:rPr>
          <w:lang w:val="fr-FR"/>
        </w:rPr>
        <w:t xml:space="preserve"> En rappelant la jurisprudence </w:t>
      </w:r>
      <w:r w:rsidR="004F6E7B" w:rsidRPr="007F3E67">
        <w:rPr>
          <w:lang w:val="fr-FR"/>
        </w:rPr>
        <w:t xml:space="preserve">selon lui </w:t>
      </w:r>
      <w:r w:rsidR="00CF0B6E" w:rsidRPr="007F3E67">
        <w:rPr>
          <w:lang w:val="fr-FR"/>
        </w:rPr>
        <w:t xml:space="preserve">pertinente de </w:t>
      </w:r>
      <w:r w:rsidR="0028265B" w:rsidRPr="007F3E67">
        <w:rPr>
          <w:lang w:val="fr-FR"/>
        </w:rPr>
        <w:t>la</w:t>
      </w:r>
      <w:r w:rsidR="00CF0B6E" w:rsidRPr="007F3E67">
        <w:rPr>
          <w:lang w:val="fr-FR"/>
        </w:rPr>
        <w:t xml:space="preserve"> Cour</w:t>
      </w:r>
      <w:r w:rsidR="004F6E7B" w:rsidRPr="007F3E67">
        <w:rPr>
          <w:lang w:val="fr-FR"/>
        </w:rPr>
        <w:t xml:space="preserve"> en l</w:t>
      </w:r>
      <w:r w:rsidR="007F3E67" w:rsidRPr="007F3E67">
        <w:rPr>
          <w:lang w:val="fr-FR"/>
        </w:rPr>
        <w:t>’</w:t>
      </w:r>
      <w:r w:rsidR="004F6E7B" w:rsidRPr="007F3E67">
        <w:rPr>
          <w:lang w:val="fr-FR"/>
        </w:rPr>
        <w:t>espèce</w:t>
      </w:r>
      <w:r w:rsidR="00CF0B6E" w:rsidRPr="007F3E67">
        <w:rPr>
          <w:lang w:val="fr-FR"/>
        </w:rPr>
        <w:t xml:space="preserve"> (</w:t>
      </w:r>
      <w:r w:rsidR="00CF0B6E" w:rsidRPr="007F3E67">
        <w:rPr>
          <w:i/>
          <w:lang w:val="fr-FR"/>
        </w:rPr>
        <w:t>Amuur c. France</w:t>
      </w:r>
      <w:r w:rsidR="00CF0B6E" w:rsidRPr="007F3E67">
        <w:rPr>
          <w:lang w:val="fr-FR"/>
        </w:rPr>
        <w:t xml:space="preserve">, 25 juin 1996, § 36, </w:t>
      </w:r>
      <w:r w:rsidR="00CF0B6E" w:rsidRPr="007F3E67">
        <w:rPr>
          <w:i/>
          <w:lang w:val="fr-FR"/>
        </w:rPr>
        <w:t xml:space="preserve">Recueil </w:t>
      </w:r>
      <w:r w:rsidR="00CF0B6E" w:rsidRPr="007F3E67">
        <w:rPr>
          <w:lang w:val="fr-FR"/>
        </w:rPr>
        <w:t>1996</w:t>
      </w:r>
      <w:r w:rsidR="00CF0B6E" w:rsidRPr="007F3E67">
        <w:rPr>
          <w:lang w:val="fr-FR"/>
        </w:rPr>
        <w:noBreakHyphen/>
        <w:t xml:space="preserve">III, </w:t>
      </w:r>
      <w:r w:rsidR="00CF0B6E" w:rsidRPr="007F3E67">
        <w:rPr>
          <w:i/>
          <w:lang w:val="fr-FR"/>
        </w:rPr>
        <w:t>Dalban c.</w:t>
      </w:r>
      <w:r w:rsidR="003F0EBB" w:rsidRPr="007F3E67">
        <w:rPr>
          <w:i/>
          <w:lang w:val="fr-FR"/>
        </w:rPr>
        <w:t> </w:t>
      </w:r>
      <w:r w:rsidR="00CF0B6E" w:rsidRPr="007F3E67">
        <w:rPr>
          <w:i/>
          <w:lang w:val="fr-FR"/>
        </w:rPr>
        <w:t>Roumanie</w:t>
      </w:r>
      <w:r w:rsidR="00CF0B6E" w:rsidRPr="007F3E67">
        <w:rPr>
          <w:lang w:val="fr-FR"/>
        </w:rPr>
        <w:t xml:space="preserve"> [GC], n</w:t>
      </w:r>
      <w:r w:rsidR="00CF0B6E" w:rsidRPr="007F3E67">
        <w:rPr>
          <w:vertAlign w:val="superscript"/>
          <w:lang w:val="fr-FR"/>
        </w:rPr>
        <w:t>o </w:t>
      </w:r>
      <w:r w:rsidR="00CF0B6E" w:rsidRPr="007F3E67">
        <w:rPr>
          <w:lang w:val="fr-FR"/>
        </w:rPr>
        <w:t>28114/95, § 44, CEDH 1999</w:t>
      </w:r>
      <w:r w:rsidR="00CF0B6E" w:rsidRPr="007F3E67">
        <w:rPr>
          <w:lang w:val="fr-FR"/>
        </w:rPr>
        <w:noBreakHyphen/>
        <w:t xml:space="preserve">VI, </w:t>
      </w:r>
      <w:r w:rsidR="00CF0B6E" w:rsidRPr="007F3E67">
        <w:rPr>
          <w:i/>
          <w:lang w:val="fr-FR"/>
        </w:rPr>
        <w:t>Labita c. Italie</w:t>
      </w:r>
      <w:r w:rsidR="00CF0B6E" w:rsidRPr="007F3E67">
        <w:rPr>
          <w:lang w:val="fr-FR"/>
        </w:rPr>
        <w:t xml:space="preserve"> [GC], n</w:t>
      </w:r>
      <w:r w:rsidR="00CF0B6E" w:rsidRPr="007F3E67">
        <w:rPr>
          <w:vertAlign w:val="superscript"/>
          <w:lang w:val="fr-FR"/>
        </w:rPr>
        <w:t>o</w:t>
      </w:r>
      <w:r w:rsidR="00CF0B6E" w:rsidRPr="007F3E67">
        <w:rPr>
          <w:lang w:val="fr-FR"/>
        </w:rPr>
        <w:t xml:space="preserve"> 26772/95, § 142, CEDH 2000</w:t>
      </w:r>
      <w:r w:rsidR="00CF0B6E" w:rsidRPr="007F3E67">
        <w:rPr>
          <w:lang w:val="fr-FR"/>
        </w:rPr>
        <w:noBreakHyphen/>
        <w:t>IV</w:t>
      </w:r>
      <w:r w:rsidR="002507BF" w:rsidRPr="007F3E67">
        <w:rPr>
          <w:lang w:val="fr-FR"/>
        </w:rPr>
        <w:t xml:space="preserve">, </w:t>
      </w:r>
      <w:r w:rsidR="004F6E7B" w:rsidRPr="007F3E67">
        <w:rPr>
          <w:lang w:val="fr-FR"/>
        </w:rPr>
        <w:t xml:space="preserve">et </w:t>
      </w:r>
      <w:r w:rsidR="002507BF" w:rsidRPr="007F3E67">
        <w:rPr>
          <w:i/>
          <w:lang w:val="fr-FR"/>
        </w:rPr>
        <w:t>Gäfgen c.</w:t>
      </w:r>
      <w:r w:rsidR="00DD3007" w:rsidRPr="007F3E67">
        <w:rPr>
          <w:i/>
          <w:lang w:val="fr-FR"/>
        </w:rPr>
        <w:t> </w:t>
      </w:r>
      <w:r w:rsidR="002507BF" w:rsidRPr="007F3E67">
        <w:rPr>
          <w:i/>
          <w:lang w:val="fr-FR"/>
        </w:rPr>
        <w:t>Allemagne</w:t>
      </w:r>
      <w:r w:rsidR="002507BF" w:rsidRPr="007F3E67">
        <w:rPr>
          <w:lang w:val="fr-FR"/>
        </w:rPr>
        <w:t xml:space="preserve"> [GC], n</w:t>
      </w:r>
      <w:r w:rsidR="002507BF" w:rsidRPr="007F3E67">
        <w:rPr>
          <w:vertAlign w:val="superscript"/>
          <w:lang w:val="fr-FR"/>
        </w:rPr>
        <w:t>o</w:t>
      </w:r>
      <w:r w:rsidR="003F0EBB" w:rsidRPr="007F3E67">
        <w:rPr>
          <w:vertAlign w:val="superscript"/>
          <w:lang w:val="fr-FR"/>
        </w:rPr>
        <w:t> </w:t>
      </w:r>
      <w:r w:rsidR="002507BF" w:rsidRPr="007F3E67">
        <w:rPr>
          <w:lang w:val="fr-FR"/>
        </w:rPr>
        <w:t>22978/05, §§ 115-116, CEDH 2010</w:t>
      </w:r>
      <w:r w:rsidR="00CF0B6E" w:rsidRPr="007F3E67">
        <w:rPr>
          <w:lang w:val="fr-FR"/>
        </w:rPr>
        <w:t xml:space="preserve">), </w:t>
      </w:r>
      <w:r w:rsidR="00AE3F99" w:rsidRPr="007F3E67">
        <w:rPr>
          <w:lang w:val="fr-FR"/>
        </w:rPr>
        <w:t xml:space="preserve">il </w:t>
      </w:r>
      <w:r w:rsidR="004F6E7B" w:rsidRPr="007F3E67">
        <w:rPr>
          <w:lang w:val="fr-FR"/>
        </w:rPr>
        <w:t xml:space="preserve">assure </w:t>
      </w:r>
      <w:r w:rsidR="00E83967" w:rsidRPr="007F3E67">
        <w:rPr>
          <w:lang w:val="fr-FR"/>
        </w:rPr>
        <w:t>que les tribunaux italiens</w:t>
      </w:r>
      <w:r w:rsidR="00BB5E78" w:rsidRPr="007F3E67">
        <w:rPr>
          <w:lang w:val="fr-FR"/>
        </w:rPr>
        <w:t>, dans l</w:t>
      </w:r>
      <w:r w:rsidR="00DD3007" w:rsidRPr="007F3E67">
        <w:rPr>
          <w:lang w:val="fr-FR"/>
        </w:rPr>
        <w:t>e</w:t>
      </w:r>
      <w:r w:rsidR="00BB5E78" w:rsidRPr="007F3E67">
        <w:rPr>
          <w:lang w:val="fr-FR"/>
        </w:rPr>
        <w:t xml:space="preserve"> cadre de la procédure pénale,</w:t>
      </w:r>
      <w:r w:rsidR="00E83967" w:rsidRPr="007F3E67">
        <w:rPr>
          <w:lang w:val="fr-FR"/>
        </w:rPr>
        <w:t xml:space="preserve"> </w:t>
      </w:r>
      <w:r w:rsidR="004F6E7B" w:rsidRPr="007F3E67">
        <w:rPr>
          <w:lang w:val="fr-FR"/>
        </w:rPr>
        <w:t xml:space="preserve">ont </w:t>
      </w:r>
      <w:r w:rsidR="00E83967" w:rsidRPr="007F3E67">
        <w:rPr>
          <w:lang w:val="fr-FR"/>
        </w:rPr>
        <w:t xml:space="preserve">reconnu </w:t>
      </w:r>
      <w:r w:rsidR="00AE3F99" w:rsidRPr="007F3E67">
        <w:rPr>
          <w:lang w:val="fr-FR"/>
        </w:rPr>
        <w:t>les violations subies par les requérants de m</w:t>
      </w:r>
      <w:r w:rsidR="00E83967" w:rsidRPr="007F3E67">
        <w:rPr>
          <w:lang w:val="fr-FR"/>
        </w:rPr>
        <w:t xml:space="preserve">anière explicite </w:t>
      </w:r>
      <w:r w:rsidR="00FD0B63" w:rsidRPr="007F3E67">
        <w:rPr>
          <w:lang w:val="fr-FR"/>
        </w:rPr>
        <w:t>ou tout au moins</w:t>
      </w:r>
      <w:r w:rsidR="00E83967" w:rsidRPr="007F3E67">
        <w:rPr>
          <w:lang w:val="fr-FR"/>
        </w:rPr>
        <w:t xml:space="preserve"> substantielle.</w:t>
      </w:r>
      <w:r w:rsidR="00074448" w:rsidRPr="007F3E67">
        <w:rPr>
          <w:lang w:val="fr-FR"/>
        </w:rPr>
        <w:t xml:space="preserve"> </w:t>
      </w:r>
      <w:r w:rsidR="004F6E7B" w:rsidRPr="007F3E67">
        <w:rPr>
          <w:lang w:val="fr-FR"/>
        </w:rPr>
        <w:t>Il ajoute que,</w:t>
      </w:r>
      <w:r w:rsidR="00AE3F99" w:rsidRPr="007F3E67">
        <w:rPr>
          <w:lang w:val="fr-FR"/>
        </w:rPr>
        <w:t xml:space="preserve"> à</w:t>
      </w:r>
      <w:r w:rsidR="00E83967" w:rsidRPr="007F3E67">
        <w:rPr>
          <w:lang w:val="fr-FR"/>
        </w:rPr>
        <w:t xml:space="preserve"> l</w:t>
      </w:r>
      <w:r w:rsidR="007F3E67" w:rsidRPr="007F3E67">
        <w:rPr>
          <w:lang w:val="fr-FR"/>
        </w:rPr>
        <w:t>’</w:t>
      </w:r>
      <w:r w:rsidR="00E83967" w:rsidRPr="007F3E67">
        <w:rPr>
          <w:lang w:val="fr-FR"/>
        </w:rPr>
        <w:t xml:space="preserve">issue de la </w:t>
      </w:r>
      <w:r w:rsidR="00BB5E78" w:rsidRPr="007F3E67">
        <w:rPr>
          <w:lang w:val="fr-FR"/>
        </w:rPr>
        <w:t xml:space="preserve">même </w:t>
      </w:r>
      <w:r w:rsidR="00E83967" w:rsidRPr="007F3E67">
        <w:rPr>
          <w:lang w:val="fr-FR"/>
        </w:rPr>
        <w:t>procédure</w:t>
      </w:r>
      <w:r w:rsidR="00FD0B63" w:rsidRPr="007F3E67">
        <w:rPr>
          <w:lang w:val="fr-FR"/>
        </w:rPr>
        <w:t>,</w:t>
      </w:r>
      <w:r w:rsidR="00E83967" w:rsidRPr="007F3E67">
        <w:rPr>
          <w:lang w:val="fr-FR"/>
        </w:rPr>
        <w:t xml:space="preserve"> les requérants </w:t>
      </w:r>
      <w:r w:rsidR="004F6E7B" w:rsidRPr="007F3E67">
        <w:rPr>
          <w:lang w:val="fr-FR"/>
        </w:rPr>
        <w:t xml:space="preserve">ont </w:t>
      </w:r>
      <w:r w:rsidR="00094A16" w:rsidRPr="007F3E67">
        <w:rPr>
          <w:lang w:val="fr-FR"/>
        </w:rPr>
        <w:t>obtenu, en tant que parti</w:t>
      </w:r>
      <w:r w:rsidR="00CF0B6E" w:rsidRPr="007F3E67">
        <w:rPr>
          <w:lang w:val="fr-FR"/>
        </w:rPr>
        <w:t>e</w:t>
      </w:r>
      <w:r w:rsidR="00094A16" w:rsidRPr="007F3E67">
        <w:rPr>
          <w:lang w:val="fr-FR"/>
        </w:rPr>
        <w:t>s civiles,</w:t>
      </w:r>
      <w:r w:rsidR="00E83967" w:rsidRPr="007F3E67">
        <w:rPr>
          <w:lang w:val="fr-FR"/>
        </w:rPr>
        <w:t xml:space="preserve"> la reconnaissance du droit à </w:t>
      </w:r>
      <w:r w:rsidR="00094A16" w:rsidRPr="007F3E67">
        <w:rPr>
          <w:lang w:val="fr-FR"/>
        </w:rPr>
        <w:t xml:space="preserve">la </w:t>
      </w:r>
      <w:r w:rsidR="00E83967" w:rsidRPr="007F3E67">
        <w:rPr>
          <w:lang w:val="fr-FR"/>
        </w:rPr>
        <w:t xml:space="preserve">réparation du préjudice subi et </w:t>
      </w:r>
      <w:r w:rsidR="00CF0B6E" w:rsidRPr="007F3E67">
        <w:rPr>
          <w:lang w:val="fr-FR"/>
        </w:rPr>
        <w:t>le versement d</w:t>
      </w:r>
      <w:r w:rsidR="007F3E67" w:rsidRPr="007F3E67">
        <w:rPr>
          <w:lang w:val="fr-FR"/>
        </w:rPr>
        <w:t>’</w:t>
      </w:r>
      <w:r w:rsidR="00094A16" w:rsidRPr="007F3E67">
        <w:rPr>
          <w:lang w:val="fr-FR"/>
        </w:rPr>
        <w:t>indemnités</w:t>
      </w:r>
      <w:r w:rsidR="00E83967" w:rsidRPr="007F3E67">
        <w:rPr>
          <w:lang w:val="fr-FR"/>
        </w:rPr>
        <w:t xml:space="preserve"> </w:t>
      </w:r>
      <w:r w:rsidR="00094A16" w:rsidRPr="007F3E67">
        <w:rPr>
          <w:lang w:val="fr-FR"/>
        </w:rPr>
        <w:t>provisionnelles</w:t>
      </w:r>
      <w:r w:rsidR="00E83967" w:rsidRPr="007F3E67">
        <w:rPr>
          <w:lang w:val="fr-FR"/>
        </w:rPr>
        <w:t xml:space="preserve"> sur les dommages-intérêts</w:t>
      </w:r>
      <w:r w:rsidR="00094A16" w:rsidRPr="007F3E67">
        <w:rPr>
          <w:lang w:val="fr-FR"/>
        </w:rPr>
        <w:t>.</w:t>
      </w:r>
      <w:r w:rsidR="00074448" w:rsidRPr="007F3E67">
        <w:rPr>
          <w:lang w:val="fr-FR"/>
        </w:rPr>
        <w:t xml:space="preserve"> </w:t>
      </w:r>
      <w:r w:rsidR="0092690B" w:rsidRPr="007F3E67">
        <w:rPr>
          <w:lang w:val="fr-FR"/>
        </w:rPr>
        <w:t xml:space="preserve">Il </w:t>
      </w:r>
      <w:r w:rsidR="004F6E7B" w:rsidRPr="007F3E67">
        <w:rPr>
          <w:lang w:val="fr-FR"/>
        </w:rPr>
        <w:t xml:space="preserve">argue </w:t>
      </w:r>
      <w:r w:rsidR="0092690B" w:rsidRPr="007F3E67">
        <w:rPr>
          <w:lang w:val="fr-FR"/>
        </w:rPr>
        <w:t xml:space="preserve">également que la </w:t>
      </w:r>
      <w:r w:rsidR="002507BF" w:rsidRPr="007F3E67">
        <w:rPr>
          <w:lang w:val="fr-FR"/>
        </w:rPr>
        <w:t xml:space="preserve">déclaration de </w:t>
      </w:r>
      <w:r w:rsidR="0092690B" w:rsidRPr="007F3E67">
        <w:rPr>
          <w:lang w:val="fr-FR"/>
        </w:rPr>
        <w:lastRenderedPageBreak/>
        <w:t>prescription de certains des délits</w:t>
      </w:r>
      <w:r w:rsidR="002507BF" w:rsidRPr="007F3E67">
        <w:rPr>
          <w:lang w:val="fr-FR"/>
        </w:rPr>
        <w:t xml:space="preserve"> attribués aux agents </w:t>
      </w:r>
      <w:r w:rsidR="003F0EBB" w:rsidRPr="007F3E67">
        <w:rPr>
          <w:lang w:val="fr-FR"/>
        </w:rPr>
        <w:t>accusés</w:t>
      </w:r>
      <w:r w:rsidR="0092690B" w:rsidRPr="007F3E67">
        <w:rPr>
          <w:lang w:val="fr-FR"/>
        </w:rPr>
        <w:t xml:space="preserve"> </w:t>
      </w:r>
      <w:r w:rsidR="004F6E7B" w:rsidRPr="007F3E67">
        <w:rPr>
          <w:lang w:val="fr-FR"/>
        </w:rPr>
        <w:t>n</w:t>
      </w:r>
      <w:r w:rsidR="007F3E67" w:rsidRPr="007F3E67">
        <w:rPr>
          <w:lang w:val="fr-FR"/>
        </w:rPr>
        <w:t>’</w:t>
      </w:r>
      <w:r w:rsidR="004F6E7B" w:rsidRPr="007F3E67">
        <w:rPr>
          <w:lang w:val="fr-FR"/>
        </w:rPr>
        <w:t xml:space="preserve">ont </w:t>
      </w:r>
      <w:r w:rsidR="0092690B" w:rsidRPr="007F3E67">
        <w:rPr>
          <w:lang w:val="fr-FR"/>
        </w:rPr>
        <w:t>pas privé les requérants de la possibilité d</w:t>
      </w:r>
      <w:r w:rsidR="00A24CAE" w:rsidRPr="007F3E67">
        <w:rPr>
          <w:lang w:val="fr-FR"/>
        </w:rPr>
        <w:t>e saisir les juridictions civiles</w:t>
      </w:r>
      <w:r w:rsidR="0092690B" w:rsidRPr="007F3E67">
        <w:rPr>
          <w:lang w:val="fr-FR"/>
        </w:rPr>
        <w:t xml:space="preserve"> a</w:t>
      </w:r>
      <w:r w:rsidR="00A24CAE" w:rsidRPr="007F3E67">
        <w:rPr>
          <w:lang w:val="fr-FR"/>
        </w:rPr>
        <w:t>fin</w:t>
      </w:r>
      <w:r w:rsidR="0092690B" w:rsidRPr="007F3E67">
        <w:rPr>
          <w:lang w:val="fr-FR"/>
        </w:rPr>
        <w:t xml:space="preserve"> d</w:t>
      </w:r>
      <w:r w:rsidR="007F3E67" w:rsidRPr="007F3E67">
        <w:rPr>
          <w:lang w:val="fr-FR"/>
        </w:rPr>
        <w:t>’</w:t>
      </w:r>
      <w:r w:rsidR="0092690B" w:rsidRPr="007F3E67">
        <w:rPr>
          <w:lang w:val="fr-FR"/>
        </w:rPr>
        <w:t>obtenir la liquidation globale et définitive des dommages-intérêts pour le préjudice subi.</w:t>
      </w:r>
    </w:p>
    <w:p w:rsidR="00074448" w:rsidRPr="007F3E67" w:rsidRDefault="00074448" w:rsidP="007F3E67">
      <w:pPr>
        <w:pStyle w:val="ECHRPara"/>
        <w:rPr>
          <w:lang w:val="fr-FR"/>
        </w:rPr>
      </w:pPr>
      <w:r w:rsidRPr="007F3E67">
        <w:rPr>
          <w:lang w:val="fr-FR"/>
        </w:rPr>
        <w:fldChar w:fldCharType="begin"/>
      </w:r>
      <w:r w:rsidRPr="007F3E67">
        <w:rPr>
          <w:lang w:val="fr-FR"/>
        </w:rPr>
        <w:instrText xml:space="preserve"> SEQ level0 \*arabic </w:instrText>
      </w:r>
      <w:r w:rsidRPr="007F3E67">
        <w:rPr>
          <w:lang w:val="fr-FR"/>
        </w:rPr>
        <w:fldChar w:fldCharType="separate"/>
      </w:r>
      <w:r w:rsidR="007F3E67" w:rsidRPr="007F3E67">
        <w:rPr>
          <w:noProof/>
          <w:lang w:val="fr-FR"/>
        </w:rPr>
        <w:t>94</w:t>
      </w:r>
      <w:r w:rsidRPr="007F3E67">
        <w:rPr>
          <w:lang w:val="fr-FR"/>
        </w:rPr>
        <w:fldChar w:fldCharType="end"/>
      </w:r>
      <w:r w:rsidRPr="007F3E67">
        <w:rPr>
          <w:lang w:val="fr-FR"/>
        </w:rPr>
        <w:t>.  </w:t>
      </w:r>
      <w:r w:rsidR="00A24CAE" w:rsidRPr="007F3E67">
        <w:rPr>
          <w:lang w:val="fr-FR"/>
        </w:rPr>
        <w:t>Toujours sous l</w:t>
      </w:r>
      <w:r w:rsidR="007F3E67" w:rsidRPr="007F3E67">
        <w:rPr>
          <w:lang w:val="fr-FR"/>
        </w:rPr>
        <w:t>’</w:t>
      </w:r>
      <w:r w:rsidR="00A24CAE" w:rsidRPr="007F3E67">
        <w:rPr>
          <w:lang w:val="fr-FR"/>
        </w:rPr>
        <w:t>angle de l</w:t>
      </w:r>
      <w:r w:rsidR="007F3E67" w:rsidRPr="007F3E67">
        <w:rPr>
          <w:lang w:val="fr-FR"/>
        </w:rPr>
        <w:t>’</w:t>
      </w:r>
      <w:r w:rsidR="00A24CAE" w:rsidRPr="007F3E67">
        <w:rPr>
          <w:lang w:val="fr-FR"/>
        </w:rPr>
        <w:t>article 34 de la Convention</w:t>
      </w:r>
      <w:r w:rsidR="00AC4FB0" w:rsidRPr="007F3E67">
        <w:rPr>
          <w:lang w:val="fr-FR"/>
        </w:rPr>
        <w:t>, l</w:t>
      </w:r>
      <w:r w:rsidR="00094A16" w:rsidRPr="007F3E67">
        <w:rPr>
          <w:lang w:val="fr-FR"/>
        </w:rPr>
        <w:t>e Gouvernement s</w:t>
      </w:r>
      <w:r w:rsidR="007F3E67" w:rsidRPr="007F3E67">
        <w:rPr>
          <w:lang w:val="fr-FR"/>
        </w:rPr>
        <w:t>’</w:t>
      </w:r>
      <w:r w:rsidR="00094A16" w:rsidRPr="007F3E67">
        <w:rPr>
          <w:lang w:val="fr-FR"/>
        </w:rPr>
        <w:t xml:space="preserve">appuie </w:t>
      </w:r>
      <w:r w:rsidRPr="007F3E67">
        <w:rPr>
          <w:lang w:val="fr-FR"/>
        </w:rPr>
        <w:t>sur la décision rendue dans l</w:t>
      </w:r>
      <w:r w:rsidR="007F3E67" w:rsidRPr="007F3E67">
        <w:rPr>
          <w:lang w:val="fr-FR"/>
        </w:rPr>
        <w:t>’</w:t>
      </w:r>
      <w:r w:rsidRPr="007F3E67">
        <w:rPr>
          <w:lang w:val="fr-FR"/>
        </w:rPr>
        <w:t xml:space="preserve">affaire </w:t>
      </w:r>
      <w:r w:rsidR="00BB5E78" w:rsidRPr="007F3E67">
        <w:rPr>
          <w:i/>
          <w:lang w:val="fr-FR"/>
        </w:rPr>
        <w:t>Palazzolo c. </w:t>
      </w:r>
      <w:r w:rsidRPr="007F3E67">
        <w:rPr>
          <w:i/>
          <w:lang w:val="fr-FR"/>
        </w:rPr>
        <w:t>Italie</w:t>
      </w:r>
      <w:r w:rsidRPr="007F3E67">
        <w:rPr>
          <w:lang w:val="fr-FR"/>
        </w:rPr>
        <w:t xml:space="preserve"> </w:t>
      </w:r>
      <w:r w:rsidR="00094A16" w:rsidRPr="007F3E67">
        <w:rPr>
          <w:lang w:val="fr-FR"/>
        </w:rPr>
        <w:t>(</w:t>
      </w:r>
      <w:r w:rsidRPr="007F3E67">
        <w:rPr>
          <w:lang w:val="fr-FR"/>
        </w:rPr>
        <w:t xml:space="preserve">(déc.), </w:t>
      </w:r>
      <w:r w:rsidR="00AC4FB0" w:rsidRPr="007F3E67">
        <w:rPr>
          <w:lang w:val="fr-FR"/>
        </w:rPr>
        <w:t>§§</w:t>
      </w:r>
      <w:r w:rsidR="00A66C8D" w:rsidRPr="007F3E67">
        <w:rPr>
          <w:lang w:val="fr-FR"/>
        </w:rPr>
        <w:t> </w:t>
      </w:r>
      <w:r w:rsidR="00AC4FB0" w:rsidRPr="007F3E67">
        <w:rPr>
          <w:lang w:val="fr-FR"/>
        </w:rPr>
        <w:t>105-108</w:t>
      </w:r>
      <w:r w:rsidR="00A66C8D" w:rsidRPr="007F3E67">
        <w:rPr>
          <w:lang w:val="fr-FR"/>
        </w:rPr>
        <w:t xml:space="preserve"> et </w:t>
      </w:r>
      <w:r w:rsidR="00AC4FB0" w:rsidRPr="007F3E67">
        <w:rPr>
          <w:lang w:val="fr-FR"/>
        </w:rPr>
        <w:t xml:space="preserve">110, </w:t>
      </w:r>
      <w:r w:rsidRPr="007F3E67">
        <w:rPr>
          <w:lang w:val="fr-FR"/>
        </w:rPr>
        <w:t>n</w:t>
      </w:r>
      <w:r w:rsidR="00301040" w:rsidRPr="007F3E67">
        <w:rPr>
          <w:vertAlign w:val="superscript"/>
          <w:lang w:val="fr-FR"/>
        </w:rPr>
        <w:t>o</w:t>
      </w:r>
      <w:r w:rsidRPr="007F3E67">
        <w:rPr>
          <w:lang w:val="fr-FR"/>
        </w:rPr>
        <w:t xml:space="preserve"> 32328/09, 24 septembre 2013)</w:t>
      </w:r>
      <w:r w:rsidR="00146318" w:rsidRPr="007F3E67">
        <w:rPr>
          <w:lang w:val="fr-FR"/>
        </w:rPr>
        <w:t xml:space="preserve"> pour </w:t>
      </w:r>
      <w:r w:rsidR="00A24CAE" w:rsidRPr="007F3E67">
        <w:rPr>
          <w:lang w:val="fr-FR"/>
        </w:rPr>
        <w:t>soutenir</w:t>
      </w:r>
      <w:r w:rsidR="00851442" w:rsidRPr="007F3E67">
        <w:rPr>
          <w:lang w:val="fr-FR"/>
        </w:rPr>
        <w:t>, d</w:t>
      </w:r>
      <w:r w:rsidR="007F3E67" w:rsidRPr="007F3E67">
        <w:rPr>
          <w:lang w:val="fr-FR"/>
        </w:rPr>
        <w:t>’</w:t>
      </w:r>
      <w:r w:rsidR="00851442" w:rsidRPr="007F3E67">
        <w:rPr>
          <w:lang w:val="fr-FR"/>
        </w:rPr>
        <w:t>une part,</w:t>
      </w:r>
      <w:r w:rsidR="00146318" w:rsidRPr="007F3E67">
        <w:rPr>
          <w:lang w:val="fr-FR"/>
        </w:rPr>
        <w:t xml:space="preserve"> que les requérants </w:t>
      </w:r>
      <w:r w:rsidR="008E2368" w:rsidRPr="007F3E67">
        <w:rPr>
          <w:lang w:val="fr-FR"/>
        </w:rPr>
        <w:t>n</w:t>
      </w:r>
      <w:r w:rsidR="007F3E67" w:rsidRPr="007F3E67">
        <w:rPr>
          <w:lang w:val="fr-FR"/>
        </w:rPr>
        <w:t>’</w:t>
      </w:r>
      <w:r w:rsidR="008E2368" w:rsidRPr="007F3E67">
        <w:rPr>
          <w:lang w:val="fr-FR"/>
        </w:rPr>
        <w:t xml:space="preserve">ont </w:t>
      </w:r>
      <w:r w:rsidR="00146318" w:rsidRPr="007F3E67">
        <w:rPr>
          <w:lang w:val="fr-FR"/>
        </w:rPr>
        <w:t>pas épuisé les voies de recours internes</w:t>
      </w:r>
      <w:r w:rsidR="00A66C8D" w:rsidRPr="007F3E67">
        <w:rPr>
          <w:lang w:val="fr-FR"/>
        </w:rPr>
        <w:t xml:space="preserve"> et</w:t>
      </w:r>
      <w:r w:rsidR="00851442" w:rsidRPr="007F3E67">
        <w:rPr>
          <w:lang w:val="fr-FR"/>
        </w:rPr>
        <w:t>, d</w:t>
      </w:r>
      <w:r w:rsidR="007F3E67" w:rsidRPr="007F3E67">
        <w:rPr>
          <w:lang w:val="fr-FR"/>
        </w:rPr>
        <w:t>’</w:t>
      </w:r>
      <w:r w:rsidR="00851442" w:rsidRPr="007F3E67">
        <w:rPr>
          <w:lang w:val="fr-FR"/>
        </w:rPr>
        <w:t>autre part,</w:t>
      </w:r>
      <w:r w:rsidR="00A66C8D" w:rsidRPr="007F3E67">
        <w:rPr>
          <w:lang w:val="fr-FR"/>
        </w:rPr>
        <w:t xml:space="preserve"> qu</w:t>
      </w:r>
      <w:r w:rsidR="007F3E67" w:rsidRPr="007F3E67">
        <w:rPr>
          <w:lang w:val="fr-FR"/>
        </w:rPr>
        <w:t>’</w:t>
      </w:r>
      <w:r w:rsidR="00851442" w:rsidRPr="007F3E67">
        <w:rPr>
          <w:lang w:val="fr-FR"/>
        </w:rPr>
        <w:t>il n</w:t>
      </w:r>
      <w:r w:rsidR="007F3E67" w:rsidRPr="007F3E67">
        <w:rPr>
          <w:lang w:val="fr-FR"/>
        </w:rPr>
        <w:t>’</w:t>
      </w:r>
      <w:r w:rsidR="00851442" w:rsidRPr="007F3E67">
        <w:rPr>
          <w:lang w:val="fr-FR"/>
        </w:rPr>
        <w:t>appartient pas à la Cour d</w:t>
      </w:r>
      <w:r w:rsidR="007F3E67" w:rsidRPr="007F3E67">
        <w:rPr>
          <w:lang w:val="fr-FR"/>
        </w:rPr>
        <w:t>’</w:t>
      </w:r>
      <w:r w:rsidR="00851442" w:rsidRPr="007F3E67">
        <w:rPr>
          <w:lang w:val="fr-FR"/>
        </w:rPr>
        <w:t>apprécier elle</w:t>
      </w:r>
      <w:r w:rsidR="009206B2" w:rsidRPr="007F3E67">
        <w:rPr>
          <w:lang w:val="fr-FR"/>
        </w:rPr>
        <w:noBreakHyphen/>
      </w:r>
      <w:r w:rsidR="00851442" w:rsidRPr="007F3E67">
        <w:rPr>
          <w:lang w:val="fr-FR"/>
        </w:rPr>
        <w:t xml:space="preserve">même les éléments de fait ayant conduit une juridiction nationale à adopter </w:t>
      </w:r>
      <w:r w:rsidR="0092690B" w:rsidRPr="007F3E67">
        <w:rPr>
          <w:lang w:val="fr-FR"/>
        </w:rPr>
        <w:t>une</w:t>
      </w:r>
      <w:r w:rsidR="00851442" w:rsidRPr="007F3E67">
        <w:rPr>
          <w:lang w:val="fr-FR"/>
        </w:rPr>
        <w:t xml:space="preserve"> décision</w:t>
      </w:r>
      <w:r w:rsidR="00A24CAE" w:rsidRPr="007F3E67">
        <w:rPr>
          <w:lang w:val="fr-FR"/>
        </w:rPr>
        <w:t>,</w:t>
      </w:r>
      <w:r w:rsidR="00851442" w:rsidRPr="007F3E67">
        <w:rPr>
          <w:lang w:val="fr-FR"/>
        </w:rPr>
        <w:t xml:space="preserve"> sauf à méconna</w:t>
      </w:r>
      <w:r w:rsidR="008E2368" w:rsidRPr="007F3E67">
        <w:rPr>
          <w:lang w:val="fr-FR"/>
        </w:rPr>
        <w:t>î</w:t>
      </w:r>
      <w:r w:rsidR="00851442" w:rsidRPr="007F3E67">
        <w:rPr>
          <w:lang w:val="fr-FR"/>
        </w:rPr>
        <w:t xml:space="preserve">tre les limites de sa mission et </w:t>
      </w:r>
      <w:r w:rsidR="00FD0B63" w:rsidRPr="007F3E67">
        <w:rPr>
          <w:lang w:val="fr-FR"/>
        </w:rPr>
        <w:t xml:space="preserve">à </w:t>
      </w:r>
      <w:r w:rsidR="00851442" w:rsidRPr="007F3E67">
        <w:rPr>
          <w:lang w:val="fr-FR"/>
        </w:rPr>
        <w:t>s</w:t>
      </w:r>
      <w:r w:rsidR="007F3E67" w:rsidRPr="007F3E67">
        <w:rPr>
          <w:lang w:val="fr-FR"/>
        </w:rPr>
        <w:t>’</w:t>
      </w:r>
      <w:r w:rsidR="00851442" w:rsidRPr="007F3E67">
        <w:rPr>
          <w:lang w:val="fr-FR"/>
        </w:rPr>
        <w:t>ériger en juge de quatrième instance.</w:t>
      </w:r>
    </w:p>
    <w:p w:rsidR="00851442" w:rsidRPr="007F3E67" w:rsidRDefault="00851442" w:rsidP="007F3E67">
      <w:pPr>
        <w:pStyle w:val="ECHRPara"/>
        <w:rPr>
          <w:lang w:val="fr-FR"/>
        </w:rPr>
      </w:pPr>
      <w:r w:rsidRPr="007F3E67">
        <w:rPr>
          <w:lang w:val="fr-FR"/>
        </w:rPr>
        <w:fldChar w:fldCharType="begin"/>
      </w:r>
      <w:r w:rsidRPr="007F3E67">
        <w:rPr>
          <w:lang w:val="fr-FR"/>
        </w:rPr>
        <w:instrText xml:space="preserve"> SEQ level0 \*arabic </w:instrText>
      </w:r>
      <w:r w:rsidRPr="007F3E67">
        <w:rPr>
          <w:lang w:val="fr-FR"/>
        </w:rPr>
        <w:fldChar w:fldCharType="separate"/>
      </w:r>
      <w:r w:rsidR="007F3E67" w:rsidRPr="007F3E67">
        <w:rPr>
          <w:noProof/>
          <w:lang w:val="fr-FR"/>
        </w:rPr>
        <w:t>95</w:t>
      </w:r>
      <w:r w:rsidRPr="007F3E67">
        <w:rPr>
          <w:lang w:val="fr-FR"/>
        </w:rPr>
        <w:fldChar w:fldCharType="end"/>
      </w:r>
      <w:r w:rsidRPr="007F3E67">
        <w:rPr>
          <w:lang w:val="fr-FR"/>
        </w:rPr>
        <w:t>.  </w:t>
      </w:r>
      <w:r w:rsidR="006B30AB" w:rsidRPr="007F3E67">
        <w:rPr>
          <w:lang w:val="fr-FR"/>
        </w:rPr>
        <w:t>Les requérants, e</w:t>
      </w:r>
      <w:r w:rsidRPr="007F3E67">
        <w:rPr>
          <w:lang w:val="fr-FR"/>
        </w:rPr>
        <w:t>n citant</w:t>
      </w:r>
      <w:r w:rsidR="003F0EBB" w:rsidRPr="007F3E67">
        <w:rPr>
          <w:lang w:val="fr-FR"/>
        </w:rPr>
        <w:t>,</w:t>
      </w:r>
      <w:r w:rsidRPr="007F3E67">
        <w:rPr>
          <w:lang w:val="fr-FR"/>
        </w:rPr>
        <w:t xml:space="preserve"> parmi d</w:t>
      </w:r>
      <w:r w:rsidR="007F3E67" w:rsidRPr="007F3E67">
        <w:rPr>
          <w:lang w:val="fr-FR"/>
        </w:rPr>
        <w:t>’</w:t>
      </w:r>
      <w:r w:rsidRPr="007F3E67">
        <w:rPr>
          <w:lang w:val="fr-FR"/>
        </w:rPr>
        <w:t>autres,</w:t>
      </w:r>
      <w:r w:rsidR="0028265B" w:rsidRPr="007F3E67">
        <w:rPr>
          <w:lang w:val="fr-FR"/>
        </w:rPr>
        <w:t xml:space="preserve"> l</w:t>
      </w:r>
      <w:r w:rsidR="007F3E67" w:rsidRPr="007F3E67">
        <w:rPr>
          <w:lang w:val="fr-FR"/>
        </w:rPr>
        <w:t>’</w:t>
      </w:r>
      <w:r w:rsidR="0028265B" w:rsidRPr="007F3E67">
        <w:rPr>
          <w:lang w:val="fr-FR"/>
        </w:rPr>
        <w:t>arrêt</w:t>
      </w:r>
      <w:r w:rsidRPr="007F3E67">
        <w:rPr>
          <w:lang w:val="fr-FR"/>
        </w:rPr>
        <w:t xml:space="preserve"> </w:t>
      </w:r>
      <w:r w:rsidRPr="007F3E67">
        <w:rPr>
          <w:i/>
          <w:lang w:val="fr-FR"/>
        </w:rPr>
        <w:t>O</w:t>
      </w:r>
      <w:r w:rsidR="007F3E67" w:rsidRPr="007F3E67">
        <w:rPr>
          <w:i/>
          <w:lang w:val="fr-FR"/>
        </w:rPr>
        <w:t>’</w:t>
      </w:r>
      <w:r w:rsidRPr="007F3E67">
        <w:rPr>
          <w:i/>
          <w:lang w:val="fr-FR"/>
        </w:rPr>
        <w:t>Keeffe c. Irlande</w:t>
      </w:r>
      <w:r w:rsidRPr="007F3E67">
        <w:rPr>
          <w:i/>
          <w:snapToGrid w:val="0"/>
          <w:lang w:val="fr-FR"/>
        </w:rPr>
        <w:t xml:space="preserve"> </w:t>
      </w:r>
      <w:r w:rsidRPr="007F3E67">
        <w:rPr>
          <w:snapToGrid w:val="0"/>
          <w:lang w:val="fr-FR"/>
        </w:rPr>
        <w:t xml:space="preserve">([GC], </w:t>
      </w:r>
      <w:r w:rsidRPr="007F3E67">
        <w:rPr>
          <w:lang w:val="fr-FR"/>
        </w:rPr>
        <w:t>n</w:t>
      </w:r>
      <w:r w:rsidRPr="007F3E67">
        <w:rPr>
          <w:vertAlign w:val="superscript"/>
          <w:lang w:val="fr-FR"/>
        </w:rPr>
        <w:t>o</w:t>
      </w:r>
      <w:r w:rsidRPr="007F3E67">
        <w:rPr>
          <w:lang w:val="fr-FR"/>
        </w:rPr>
        <w:t xml:space="preserve"> 35810/09</w:t>
      </w:r>
      <w:r w:rsidRPr="007F3E67">
        <w:rPr>
          <w:snapToGrid w:val="0"/>
          <w:lang w:val="fr-FR"/>
        </w:rPr>
        <w:t xml:space="preserve">, § 115, CEDH 2014 (extraits)), </w:t>
      </w:r>
      <w:r w:rsidR="008E2368" w:rsidRPr="007F3E67">
        <w:rPr>
          <w:snapToGrid w:val="0"/>
          <w:lang w:val="fr-FR"/>
        </w:rPr>
        <w:t xml:space="preserve">avancent </w:t>
      </w:r>
      <w:r w:rsidRPr="007F3E67">
        <w:rPr>
          <w:snapToGrid w:val="0"/>
          <w:lang w:val="fr-FR"/>
        </w:rPr>
        <w:t>que le procès pénal n</w:t>
      </w:r>
      <w:r w:rsidR="007F3E67" w:rsidRPr="007F3E67">
        <w:rPr>
          <w:snapToGrid w:val="0"/>
          <w:lang w:val="fr-FR"/>
        </w:rPr>
        <w:t>’</w:t>
      </w:r>
      <w:r w:rsidRPr="007F3E67">
        <w:rPr>
          <w:snapToGrid w:val="0"/>
          <w:lang w:val="fr-FR"/>
        </w:rPr>
        <w:t xml:space="preserve">a </w:t>
      </w:r>
      <w:r w:rsidR="006B30AB" w:rsidRPr="007F3E67">
        <w:rPr>
          <w:snapToGrid w:val="0"/>
          <w:lang w:val="fr-FR"/>
        </w:rPr>
        <w:t>ni</w:t>
      </w:r>
      <w:r w:rsidRPr="007F3E67">
        <w:rPr>
          <w:snapToGrid w:val="0"/>
          <w:lang w:val="fr-FR"/>
        </w:rPr>
        <w:t xml:space="preserve"> expressément ni </w:t>
      </w:r>
      <w:r w:rsidR="00FD0B63" w:rsidRPr="007F3E67">
        <w:rPr>
          <w:snapToGrid w:val="0"/>
          <w:lang w:val="fr-FR"/>
        </w:rPr>
        <w:t>en substance</w:t>
      </w:r>
      <w:r w:rsidRPr="007F3E67">
        <w:rPr>
          <w:snapToGrid w:val="0"/>
          <w:lang w:val="fr-FR"/>
        </w:rPr>
        <w:t xml:space="preserve"> reconnu </w:t>
      </w:r>
      <w:r w:rsidR="008E2368" w:rsidRPr="007F3E67">
        <w:rPr>
          <w:snapToGrid w:val="0"/>
          <w:lang w:val="fr-FR"/>
        </w:rPr>
        <w:t>une</w:t>
      </w:r>
      <w:r w:rsidRPr="007F3E67">
        <w:rPr>
          <w:snapToGrid w:val="0"/>
          <w:lang w:val="fr-FR"/>
        </w:rPr>
        <w:t xml:space="preserve"> violation de l</w:t>
      </w:r>
      <w:r w:rsidR="007F3E67" w:rsidRPr="007F3E67">
        <w:rPr>
          <w:snapToGrid w:val="0"/>
          <w:lang w:val="fr-FR"/>
        </w:rPr>
        <w:t>’</w:t>
      </w:r>
      <w:r w:rsidRPr="007F3E67">
        <w:rPr>
          <w:snapToGrid w:val="0"/>
          <w:lang w:val="fr-FR"/>
        </w:rPr>
        <w:t>article</w:t>
      </w:r>
      <w:r w:rsidR="008E2368" w:rsidRPr="007F3E67">
        <w:rPr>
          <w:snapToGrid w:val="0"/>
          <w:lang w:val="fr-FR"/>
        </w:rPr>
        <w:t> </w:t>
      </w:r>
      <w:r w:rsidRPr="007F3E67">
        <w:rPr>
          <w:snapToGrid w:val="0"/>
          <w:lang w:val="fr-FR"/>
        </w:rPr>
        <w:t xml:space="preserve">3 de la Convention </w:t>
      </w:r>
      <w:r w:rsidR="001971A5" w:rsidRPr="007F3E67">
        <w:rPr>
          <w:snapToGrid w:val="0"/>
          <w:lang w:val="fr-FR"/>
        </w:rPr>
        <w:t>et ce</w:t>
      </w:r>
      <w:r w:rsidR="008E2368" w:rsidRPr="007F3E67">
        <w:rPr>
          <w:snapToGrid w:val="0"/>
          <w:lang w:val="fr-FR"/>
        </w:rPr>
        <w:t>, selon eux, car</w:t>
      </w:r>
      <w:r w:rsidRPr="007F3E67">
        <w:rPr>
          <w:lang w:val="fr-FR"/>
        </w:rPr>
        <w:t xml:space="preserve"> </w:t>
      </w:r>
      <w:r w:rsidR="008E2368" w:rsidRPr="007F3E67">
        <w:rPr>
          <w:lang w:val="fr-FR"/>
        </w:rPr>
        <w:t>le</w:t>
      </w:r>
      <w:r w:rsidRPr="007F3E67">
        <w:rPr>
          <w:lang w:val="fr-FR"/>
        </w:rPr>
        <w:t xml:space="preserve"> système juridique italien ne prévoit aucune infraction </w:t>
      </w:r>
      <w:r w:rsidR="00836F9C" w:rsidRPr="007F3E67">
        <w:rPr>
          <w:lang w:val="fr-FR"/>
        </w:rPr>
        <w:t>proche</w:t>
      </w:r>
      <w:r w:rsidR="003B3C09" w:rsidRPr="007F3E67">
        <w:rPr>
          <w:lang w:val="fr-FR"/>
        </w:rPr>
        <w:t xml:space="preserve"> du</w:t>
      </w:r>
      <w:r w:rsidRPr="007F3E67">
        <w:rPr>
          <w:lang w:val="fr-FR"/>
        </w:rPr>
        <w:t xml:space="preserve"> type d</w:t>
      </w:r>
      <w:r w:rsidR="007F3E67" w:rsidRPr="007F3E67">
        <w:rPr>
          <w:lang w:val="fr-FR"/>
        </w:rPr>
        <w:t>’</w:t>
      </w:r>
      <w:r w:rsidRPr="007F3E67">
        <w:rPr>
          <w:lang w:val="fr-FR"/>
        </w:rPr>
        <w:t>actes interdits par la Convention.</w:t>
      </w:r>
    </w:p>
    <w:p w:rsidR="00301040" w:rsidRPr="007F3E67" w:rsidRDefault="00851442" w:rsidP="007F3E67">
      <w:pPr>
        <w:pStyle w:val="ECHRPara"/>
        <w:rPr>
          <w:lang w:val="fr-FR"/>
        </w:rPr>
      </w:pPr>
      <w:r w:rsidRPr="007F3E67">
        <w:rPr>
          <w:lang w:val="fr-FR"/>
        </w:rPr>
        <w:fldChar w:fldCharType="begin"/>
      </w:r>
      <w:r w:rsidRPr="007F3E67">
        <w:rPr>
          <w:lang w:val="fr-FR"/>
        </w:rPr>
        <w:instrText xml:space="preserve"> SEQ level0 \*arabic </w:instrText>
      </w:r>
      <w:r w:rsidRPr="007F3E67">
        <w:rPr>
          <w:lang w:val="fr-FR"/>
        </w:rPr>
        <w:fldChar w:fldCharType="separate"/>
      </w:r>
      <w:r w:rsidR="007F3E67" w:rsidRPr="007F3E67">
        <w:rPr>
          <w:noProof/>
          <w:lang w:val="fr-FR"/>
        </w:rPr>
        <w:t>96</w:t>
      </w:r>
      <w:r w:rsidRPr="007F3E67">
        <w:rPr>
          <w:lang w:val="fr-FR"/>
        </w:rPr>
        <w:fldChar w:fldCharType="end"/>
      </w:r>
      <w:r w:rsidRPr="007F3E67">
        <w:rPr>
          <w:lang w:val="fr-FR"/>
        </w:rPr>
        <w:t>.  </w:t>
      </w:r>
      <w:r w:rsidR="003B3C09" w:rsidRPr="007F3E67">
        <w:rPr>
          <w:lang w:val="fr-FR"/>
        </w:rPr>
        <w:t>Ils soutiennent</w:t>
      </w:r>
      <w:r w:rsidRPr="007F3E67">
        <w:rPr>
          <w:lang w:val="fr-FR"/>
        </w:rPr>
        <w:t xml:space="preserve"> également que</w:t>
      </w:r>
      <w:r w:rsidR="003B3C09" w:rsidRPr="007F3E67">
        <w:rPr>
          <w:lang w:val="fr-FR"/>
        </w:rPr>
        <w:t>, dans</w:t>
      </w:r>
      <w:r w:rsidRPr="007F3E67">
        <w:rPr>
          <w:lang w:val="fr-FR"/>
        </w:rPr>
        <w:t xml:space="preserve"> l</w:t>
      </w:r>
      <w:r w:rsidR="00074448" w:rsidRPr="007F3E67">
        <w:rPr>
          <w:lang w:val="fr-FR"/>
        </w:rPr>
        <w:t>e</w:t>
      </w:r>
      <w:r w:rsidR="006B30AB" w:rsidRPr="007F3E67">
        <w:rPr>
          <w:lang w:val="fr-FR"/>
        </w:rPr>
        <w:t xml:space="preserve"> rest</w:t>
      </w:r>
      <w:r w:rsidR="003B3C09" w:rsidRPr="007F3E67">
        <w:rPr>
          <w:lang w:val="fr-FR"/>
        </w:rPr>
        <w:t>e</w:t>
      </w:r>
      <w:r w:rsidR="006B30AB" w:rsidRPr="007F3E67">
        <w:rPr>
          <w:lang w:val="fr-FR"/>
        </w:rPr>
        <w:t xml:space="preserve"> </w:t>
      </w:r>
      <w:r w:rsidR="003B3C09" w:rsidRPr="007F3E67">
        <w:rPr>
          <w:lang w:val="fr-FR"/>
        </w:rPr>
        <w:t xml:space="preserve">de son </w:t>
      </w:r>
      <w:r w:rsidR="006B30AB" w:rsidRPr="007F3E67">
        <w:rPr>
          <w:lang w:val="fr-FR"/>
        </w:rPr>
        <w:t>raisonnement</w:t>
      </w:r>
      <w:r w:rsidR="003B3C09" w:rsidRPr="007F3E67">
        <w:rPr>
          <w:lang w:val="fr-FR"/>
        </w:rPr>
        <w:t>,</w:t>
      </w:r>
      <w:r w:rsidR="006B30AB" w:rsidRPr="007F3E67">
        <w:rPr>
          <w:lang w:val="fr-FR"/>
        </w:rPr>
        <w:t xml:space="preserve"> </w:t>
      </w:r>
      <w:r w:rsidR="003B3C09" w:rsidRPr="007F3E67">
        <w:rPr>
          <w:lang w:val="fr-FR"/>
        </w:rPr>
        <w:t xml:space="preserve">le </w:t>
      </w:r>
      <w:r w:rsidR="00074448" w:rsidRPr="007F3E67">
        <w:rPr>
          <w:lang w:val="fr-FR"/>
        </w:rPr>
        <w:t>Gouvernement ne fait que réitérer</w:t>
      </w:r>
      <w:r w:rsidRPr="007F3E67">
        <w:rPr>
          <w:lang w:val="fr-FR"/>
        </w:rPr>
        <w:t xml:space="preserve"> </w:t>
      </w:r>
      <w:r w:rsidR="00074448" w:rsidRPr="007F3E67">
        <w:rPr>
          <w:lang w:val="fr-FR"/>
        </w:rPr>
        <w:t xml:space="preserve">les arguments </w:t>
      </w:r>
      <w:r w:rsidR="003B3C09" w:rsidRPr="007F3E67">
        <w:rPr>
          <w:lang w:val="fr-FR"/>
        </w:rPr>
        <w:t>qu</w:t>
      </w:r>
      <w:r w:rsidR="007F3E67" w:rsidRPr="007F3E67">
        <w:rPr>
          <w:lang w:val="fr-FR"/>
        </w:rPr>
        <w:t>’</w:t>
      </w:r>
      <w:r w:rsidR="003B3C09" w:rsidRPr="007F3E67">
        <w:rPr>
          <w:lang w:val="fr-FR"/>
        </w:rPr>
        <w:t xml:space="preserve">il avait déjà </w:t>
      </w:r>
      <w:r w:rsidR="00074448" w:rsidRPr="007F3E67">
        <w:rPr>
          <w:lang w:val="fr-FR"/>
        </w:rPr>
        <w:t>exposés</w:t>
      </w:r>
      <w:r w:rsidR="00AE3F99" w:rsidRPr="007F3E67">
        <w:rPr>
          <w:lang w:val="fr-FR"/>
        </w:rPr>
        <w:t xml:space="preserve"> </w:t>
      </w:r>
      <w:r w:rsidR="003B3C09" w:rsidRPr="007F3E67">
        <w:rPr>
          <w:lang w:val="fr-FR"/>
        </w:rPr>
        <w:t xml:space="preserve">relativement </w:t>
      </w:r>
      <w:r w:rsidR="00836F9C" w:rsidRPr="007F3E67">
        <w:rPr>
          <w:lang w:val="fr-FR"/>
        </w:rPr>
        <w:t>à son allégation de</w:t>
      </w:r>
      <w:r w:rsidR="00C61CBC" w:rsidRPr="007F3E67">
        <w:rPr>
          <w:lang w:val="fr-FR"/>
        </w:rPr>
        <w:t xml:space="preserve"> </w:t>
      </w:r>
      <w:r w:rsidR="00074448" w:rsidRPr="007F3E67">
        <w:rPr>
          <w:lang w:val="fr-FR"/>
        </w:rPr>
        <w:t>non</w:t>
      </w:r>
      <w:r w:rsidR="00D463F5" w:rsidRPr="007F3E67">
        <w:rPr>
          <w:lang w:val="fr-FR"/>
        </w:rPr>
        <w:t>-</w:t>
      </w:r>
      <w:r w:rsidR="00074448" w:rsidRPr="007F3E67">
        <w:rPr>
          <w:lang w:val="fr-FR"/>
        </w:rPr>
        <w:t>épuisement des voies de recours internes.</w:t>
      </w:r>
    </w:p>
    <w:p w:rsidR="00681EA4" w:rsidRPr="007F3E67" w:rsidRDefault="00681EA4" w:rsidP="007F3E67">
      <w:pPr>
        <w:pStyle w:val="ECHRHeading5"/>
        <w:rPr>
          <w:lang w:val="fr-FR"/>
        </w:rPr>
      </w:pPr>
      <w:r w:rsidRPr="007F3E67">
        <w:rPr>
          <w:lang w:val="fr-FR"/>
        </w:rPr>
        <w:t>ii.</w:t>
      </w:r>
      <w:r w:rsidR="003B3C09" w:rsidRPr="007F3E67">
        <w:rPr>
          <w:lang w:val="fr-FR"/>
        </w:rPr>
        <w:t>  </w:t>
      </w:r>
      <w:r w:rsidRPr="007F3E67">
        <w:rPr>
          <w:lang w:val="fr-FR"/>
        </w:rPr>
        <w:t>Appréciation de la Cour</w:t>
      </w:r>
    </w:p>
    <w:p w:rsidR="00FB66A6" w:rsidRPr="007F3E67" w:rsidRDefault="00074448" w:rsidP="007F3E67">
      <w:pPr>
        <w:pStyle w:val="ECHRPara"/>
        <w:rPr>
          <w:lang w:val="fr-FR"/>
        </w:rPr>
      </w:pPr>
      <w:r w:rsidRPr="007F3E67">
        <w:rPr>
          <w:lang w:val="fr-FR"/>
        </w:rPr>
        <w:fldChar w:fldCharType="begin"/>
      </w:r>
      <w:r w:rsidRPr="007F3E67">
        <w:rPr>
          <w:lang w:val="fr-FR"/>
        </w:rPr>
        <w:instrText xml:space="preserve"> SEQ level0 \*arabic </w:instrText>
      </w:r>
      <w:r w:rsidRPr="007F3E67">
        <w:rPr>
          <w:lang w:val="fr-FR"/>
        </w:rPr>
        <w:fldChar w:fldCharType="separate"/>
      </w:r>
      <w:r w:rsidR="007F3E67" w:rsidRPr="007F3E67">
        <w:rPr>
          <w:noProof/>
          <w:lang w:val="fr-FR"/>
        </w:rPr>
        <w:t>97</w:t>
      </w:r>
      <w:r w:rsidRPr="007F3E67">
        <w:rPr>
          <w:lang w:val="fr-FR"/>
        </w:rPr>
        <w:fldChar w:fldCharType="end"/>
      </w:r>
      <w:r w:rsidRPr="007F3E67">
        <w:rPr>
          <w:lang w:val="fr-FR"/>
        </w:rPr>
        <w:t>.  La Cour note qu</w:t>
      </w:r>
      <w:r w:rsidR="006B30AB" w:rsidRPr="007F3E67">
        <w:rPr>
          <w:lang w:val="fr-FR"/>
        </w:rPr>
        <w:t>e</w:t>
      </w:r>
      <w:r w:rsidR="00AB54E3" w:rsidRPr="007F3E67">
        <w:rPr>
          <w:lang w:val="fr-FR"/>
        </w:rPr>
        <w:t xml:space="preserve"> le G</w:t>
      </w:r>
      <w:r w:rsidRPr="007F3E67">
        <w:rPr>
          <w:lang w:val="fr-FR"/>
        </w:rPr>
        <w:t>ouvernement</w:t>
      </w:r>
      <w:r w:rsidR="00AB54E3" w:rsidRPr="007F3E67">
        <w:rPr>
          <w:lang w:val="fr-FR"/>
        </w:rPr>
        <w:t xml:space="preserve"> </w:t>
      </w:r>
      <w:r w:rsidR="00C61CBC" w:rsidRPr="007F3E67">
        <w:rPr>
          <w:lang w:val="fr-FR"/>
        </w:rPr>
        <w:t xml:space="preserve">associe, </w:t>
      </w:r>
      <w:r w:rsidR="006B30AB" w:rsidRPr="007F3E67">
        <w:rPr>
          <w:lang w:val="fr-FR"/>
        </w:rPr>
        <w:t xml:space="preserve">dans </w:t>
      </w:r>
      <w:r w:rsidR="00D463F5" w:rsidRPr="007F3E67">
        <w:rPr>
          <w:lang w:val="fr-FR"/>
        </w:rPr>
        <w:t>s</w:t>
      </w:r>
      <w:r w:rsidR="00A24CAE" w:rsidRPr="007F3E67">
        <w:rPr>
          <w:lang w:val="fr-FR"/>
        </w:rPr>
        <w:t>on raisonnement</w:t>
      </w:r>
      <w:r w:rsidR="00C61CBC" w:rsidRPr="007F3E67">
        <w:rPr>
          <w:lang w:val="fr-FR"/>
        </w:rPr>
        <w:t>,</w:t>
      </w:r>
      <w:r w:rsidR="006B30AB" w:rsidRPr="007F3E67">
        <w:rPr>
          <w:lang w:val="fr-FR"/>
        </w:rPr>
        <w:t xml:space="preserve"> des </w:t>
      </w:r>
      <w:r w:rsidR="00C61CBC" w:rsidRPr="007F3E67">
        <w:rPr>
          <w:lang w:val="fr-FR"/>
        </w:rPr>
        <w:t xml:space="preserve">arguments </w:t>
      </w:r>
      <w:r w:rsidR="00DD069B" w:rsidRPr="007F3E67">
        <w:rPr>
          <w:lang w:val="fr-FR"/>
        </w:rPr>
        <w:t xml:space="preserve">de nature </w:t>
      </w:r>
      <w:r w:rsidR="000321C2" w:rsidRPr="007F3E67">
        <w:rPr>
          <w:lang w:val="fr-FR"/>
        </w:rPr>
        <w:t>à contester</w:t>
      </w:r>
      <w:r w:rsidR="006B30AB" w:rsidRPr="007F3E67">
        <w:rPr>
          <w:lang w:val="fr-FR"/>
        </w:rPr>
        <w:t xml:space="preserve"> l</w:t>
      </w:r>
      <w:r w:rsidR="00D463F5" w:rsidRPr="007F3E67">
        <w:rPr>
          <w:lang w:val="fr-FR"/>
        </w:rPr>
        <w:t>a qualité</w:t>
      </w:r>
      <w:r w:rsidR="006B30AB" w:rsidRPr="007F3E67">
        <w:rPr>
          <w:lang w:val="fr-FR"/>
        </w:rPr>
        <w:t xml:space="preserve"> de victime des requérants </w:t>
      </w:r>
      <w:r w:rsidR="00836F9C" w:rsidRPr="007F3E67">
        <w:rPr>
          <w:lang w:val="fr-FR"/>
        </w:rPr>
        <w:t xml:space="preserve">à </w:t>
      </w:r>
      <w:r w:rsidR="00C61CBC" w:rsidRPr="007F3E67">
        <w:rPr>
          <w:lang w:val="fr-FR"/>
        </w:rPr>
        <w:t>des allégations e</w:t>
      </w:r>
      <w:r w:rsidR="00FD0B63" w:rsidRPr="007F3E67">
        <w:rPr>
          <w:lang w:val="fr-FR"/>
        </w:rPr>
        <w:t>ssentiellement</w:t>
      </w:r>
      <w:r w:rsidR="006B30AB" w:rsidRPr="007F3E67">
        <w:rPr>
          <w:lang w:val="fr-FR"/>
        </w:rPr>
        <w:t xml:space="preserve"> lié</w:t>
      </w:r>
      <w:r w:rsidR="00C61CBC" w:rsidRPr="007F3E67">
        <w:rPr>
          <w:lang w:val="fr-FR"/>
        </w:rPr>
        <w:t>e</w:t>
      </w:r>
      <w:r w:rsidR="006B30AB" w:rsidRPr="007F3E67">
        <w:rPr>
          <w:lang w:val="fr-FR"/>
        </w:rPr>
        <w:t>s au</w:t>
      </w:r>
      <w:r w:rsidRPr="007F3E67">
        <w:rPr>
          <w:lang w:val="fr-FR"/>
        </w:rPr>
        <w:t xml:space="preserve"> non-épuisement des voies de recours</w:t>
      </w:r>
      <w:r w:rsidR="006B30AB" w:rsidRPr="007F3E67">
        <w:rPr>
          <w:lang w:val="fr-FR"/>
        </w:rPr>
        <w:t xml:space="preserve"> internes. </w:t>
      </w:r>
      <w:r w:rsidR="00FB66A6" w:rsidRPr="007F3E67">
        <w:rPr>
          <w:lang w:val="fr-FR"/>
        </w:rPr>
        <w:t>Dès lors, c</w:t>
      </w:r>
      <w:r w:rsidR="00F07C79" w:rsidRPr="007F3E67">
        <w:rPr>
          <w:lang w:val="fr-FR"/>
        </w:rPr>
        <w:t>es derni</w:t>
      </w:r>
      <w:r w:rsidR="00C61CBC" w:rsidRPr="007F3E67">
        <w:rPr>
          <w:lang w:val="fr-FR"/>
        </w:rPr>
        <w:t>è</w:t>
      </w:r>
      <w:r w:rsidR="00F07C79" w:rsidRPr="007F3E67">
        <w:rPr>
          <w:lang w:val="fr-FR"/>
        </w:rPr>
        <w:t>r</w:t>
      </w:r>
      <w:r w:rsidR="00C61CBC" w:rsidRPr="007F3E67">
        <w:rPr>
          <w:lang w:val="fr-FR"/>
        </w:rPr>
        <w:t>e</w:t>
      </w:r>
      <w:r w:rsidR="00F07C79" w:rsidRPr="007F3E67">
        <w:rPr>
          <w:lang w:val="fr-FR"/>
        </w:rPr>
        <w:t>s seront</w:t>
      </w:r>
      <w:r w:rsidR="006B30AB" w:rsidRPr="007F3E67">
        <w:rPr>
          <w:lang w:val="fr-FR"/>
        </w:rPr>
        <w:t xml:space="preserve"> traité</w:t>
      </w:r>
      <w:r w:rsidR="00C61CBC" w:rsidRPr="007F3E67">
        <w:rPr>
          <w:lang w:val="fr-FR"/>
        </w:rPr>
        <w:t>e</w:t>
      </w:r>
      <w:r w:rsidR="00F07C79" w:rsidRPr="007F3E67">
        <w:rPr>
          <w:lang w:val="fr-FR"/>
        </w:rPr>
        <w:t>s</w:t>
      </w:r>
      <w:r w:rsidR="006B30AB" w:rsidRPr="007F3E67">
        <w:rPr>
          <w:lang w:val="fr-FR"/>
        </w:rPr>
        <w:t xml:space="preserve"> </w:t>
      </w:r>
      <w:r w:rsidR="00A24CAE" w:rsidRPr="007F3E67">
        <w:rPr>
          <w:lang w:val="fr-FR"/>
        </w:rPr>
        <w:t>dans le cadre de l</w:t>
      </w:r>
      <w:r w:rsidR="007F3E67" w:rsidRPr="007F3E67">
        <w:rPr>
          <w:lang w:val="fr-FR"/>
        </w:rPr>
        <w:t>’</w:t>
      </w:r>
      <w:r w:rsidR="00A24CAE" w:rsidRPr="007F3E67">
        <w:rPr>
          <w:lang w:val="fr-FR"/>
        </w:rPr>
        <w:t>exception du Gouvernement tirée du non-épuisement des voies de recours internes</w:t>
      </w:r>
      <w:r w:rsidR="00FB66A6" w:rsidRPr="007F3E67">
        <w:rPr>
          <w:lang w:val="fr-FR"/>
        </w:rPr>
        <w:t>.</w:t>
      </w:r>
    </w:p>
    <w:bookmarkStart w:id="15" w:name="qualité_victime_FIN"/>
    <w:p w:rsidR="00A24CAE" w:rsidRPr="007F3E67" w:rsidRDefault="00D463F5" w:rsidP="007F3E67">
      <w:pPr>
        <w:pStyle w:val="ECHRPara"/>
        <w:rPr>
          <w:i/>
          <w:lang w:val="fr-FR"/>
        </w:rPr>
      </w:pPr>
      <w:r w:rsidRPr="007F3E67">
        <w:rPr>
          <w:lang w:val="fr-FR"/>
        </w:rPr>
        <w:fldChar w:fldCharType="begin"/>
      </w:r>
      <w:r w:rsidRPr="007F3E67">
        <w:rPr>
          <w:lang w:val="fr-FR"/>
        </w:rPr>
        <w:instrText xml:space="preserve"> SEQ level0 \*arabic </w:instrText>
      </w:r>
      <w:r w:rsidRPr="007F3E67">
        <w:rPr>
          <w:lang w:val="fr-FR"/>
        </w:rPr>
        <w:fldChar w:fldCharType="separate"/>
      </w:r>
      <w:r w:rsidR="007F3E67" w:rsidRPr="007F3E67">
        <w:rPr>
          <w:noProof/>
          <w:lang w:val="fr-FR"/>
        </w:rPr>
        <w:t>98</w:t>
      </w:r>
      <w:r w:rsidRPr="007F3E67">
        <w:rPr>
          <w:lang w:val="fr-FR"/>
        </w:rPr>
        <w:fldChar w:fldCharType="end"/>
      </w:r>
      <w:bookmarkEnd w:id="15"/>
      <w:r w:rsidRPr="007F3E67">
        <w:rPr>
          <w:lang w:val="fr-FR"/>
        </w:rPr>
        <w:t>.  </w:t>
      </w:r>
      <w:r w:rsidR="00F07C79" w:rsidRPr="007F3E67">
        <w:rPr>
          <w:lang w:val="fr-FR"/>
        </w:rPr>
        <w:t>En ce qui concerne la perte de la qualité de victime, l</w:t>
      </w:r>
      <w:r w:rsidR="00A24CAE" w:rsidRPr="007F3E67">
        <w:rPr>
          <w:lang w:val="fr-FR"/>
        </w:rPr>
        <w:t>a Cour estime que la question centrale pos</w:t>
      </w:r>
      <w:r w:rsidR="00BB5E78" w:rsidRPr="007F3E67">
        <w:rPr>
          <w:lang w:val="fr-FR"/>
        </w:rPr>
        <w:t>é</w:t>
      </w:r>
      <w:r w:rsidR="00A24CAE" w:rsidRPr="007F3E67">
        <w:rPr>
          <w:lang w:val="fr-FR"/>
        </w:rPr>
        <w:t xml:space="preserve">e est étroitement liée </w:t>
      </w:r>
      <w:r w:rsidR="00FD0B63" w:rsidRPr="007F3E67">
        <w:rPr>
          <w:lang w:val="fr-FR"/>
        </w:rPr>
        <w:t xml:space="preserve">au </w:t>
      </w:r>
      <w:r w:rsidR="00F07C79" w:rsidRPr="007F3E67">
        <w:rPr>
          <w:lang w:val="fr-FR"/>
        </w:rPr>
        <w:t xml:space="preserve">fond du </w:t>
      </w:r>
      <w:r w:rsidR="00FD0B63" w:rsidRPr="007F3E67">
        <w:rPr>
          <w:lang w:val="fr-FR"/>
        </w:rPr>
        <w:t>grief tiré de l</w:t>
      </w:r>
      <w:r w:rsidR="007F3E67" w:rsidRPr="007F3E67">
        <w:rPr>
          <w:lang w:val="fr-FR"/>
        </w:rPr>
        <w:t>’</w:t>
      </w:r>
      <w:r w:rsidR="00FD0B63" w:rsidRPr="007F3E67">
        <w:rPr>
          <w:lang w:val="fr-FR"/>
        </w:rPr>
        <w:t>article 3 de la Convention en son</w:t>
      </w:r>
      <w:r w:rsidR="00A24CAE" w:rsidRPr="007F3E67">
        <w:rPr>
          <w:lang w:val="fr-FR"/>
        </w:rPr>
        <w:t xml:space="preserve"> volet procédural. En conséquence, elle décide de joindre cette exception au fond (</w:t>
      </w:r>
      <w:r w:rsidR="007141CA" w:rsidRPr="007F3E67">
        <w:rPr>
          <w:i/>
          <w:lang w:val="fr-FR"/>
        </w:rPr>
        <w:t xml:space="preserve">Cestaro, </w:t>
      </w:r>
      <w:r w:rsidR="007141CA" w:rsidRPr="007F3E67">
        <w:rPr>
          <w:lang w:val="fr-FR"/>
        </w:rPr>
        <w:t>précité, §136</w:t>
      </w:r>
      <w:r w:rsidR="00A24CAE" w:rsidRPr="007F3E67">
        <w:rPr>
          <w:lang w:val="fr-FR"/>
        </w:rPr>
        <w:t>).</w:t>
      </w:r>
    </w:p>
    <w:p w:rsidR="006D02E3" w:rsidRPr="007F3E67" w:rsidRDefault="007141CA" w:rsidP="007F3E67">
      <w:pPr>
        <w:pStyle w:val="ECHRHeading4"/>
        <w:rPr>
          <w:lang w:val="fr-FR"/>
        </w:rPr>
      </w:pPr>
      <w:r w:rsidRPr="007F3E67">
        <w:rPr>
          <w:lang w:val="fr-FR"/>
        </w:rPr>
        <w:t>b</w:t>
      </w:r>
      <w:r w:rsidR="006D02E3" w:rsidRPr="007F3E67">
        <w:rPr>
          <w:lang w:val="fr-FR"/>
        </w:rPr>
        <w:t>)</w:t>
      </w:r>
      <w:r w:rsidR="005670AC" w:rsidRPr="007F3E67">
        <w:rPr>
          <w:lang w:val="fr-FR"/>
        </w:rPr>
        <w:t>  </w:t>
      </w:r>
      <w:r w:rsidR="006D02E3" w:rsidRPr="007F3E67">
        <w:rPr>
          <w:lang w:val="fr-FR"/>
        </w:rPr>
        <w:t>L</w:t>
      </w:r>
      <w:r w:rsidR="007F3E67" w:rsidRPr="007F3E67">
        <w:rPr>
          <w:lang w:val="fr-FR"/>
        </w:rPr>
        <w:t>’</w:t>
      </w:r>
      <w:r w:rsidR="006D02E3" w:rsidRPr="007F3E67">
        <w:rPr>
          <w:lang w:val="fr-FR"/>
        </w:rPr>
        <w:t>exception du Gouvernement tirée du non-épuisement des voies de recours internes</w:t>
      </w:r>
      <w:r w:rsidR="003E1925" w:rsidRPr="007F3E67">
        <w:rPr>
          <w:lang w:val="fr-FR"/>
        </w:rPr>
        <w:t xml:space="preserve"> en matière pénale</w:t>
      </w:r>
    </w:p>
    <w:p w:rsidR="006D02E3" w:rsidRPr="007F3E67" w:rsidRDefault="006D02E3" w:rsidP="007F3E67">
      <w:pPr>
        <w:pStyle w:val="ECHRHeading5"/>
        <w:rPr>
          <w:lang w:val="fr-FR"/>
        </w:rPr>
      </w:pPr>
      <w:r w:rsidRPr="007F3E67">
        <w:rPr>
          <w:lang w:val="fr-FR"/>
        </w:rPr>
        <w:t>i.</w:t>
      </w:r>
      <w:r w:rsidR="00596DF1" w:rsidRPr="007F3E67">
        <w:rPr>
          <w:lang w:val="fr-FR"/>
        </w:rPr>
        <w:t>  </w:t>
      </w:r>
      <w:r w:rsidRPr="007F3E67">
        <w:rPr>
          <w:lang w:val="fr-FR"/>
        </w:rPr>
        <w:t>Thèses des parties</w:t>
      </w:r>
    </w:p>
    <w:p w:rsidR="00301040" w:rsidRPr="007F3E67" w:rsidRDefault="00624775" w:rsidP="007F3E67">
      <w:pPr>
        <w:pStyle w:val="ECHRPara"/>
        <w:rPr>
          <w:lang w:val="fr-FR"/>
        </w:rPr>
      </w:pPr>
      <w:r w:rsidRPr="007F3E67">
        <w:rPr>
          <w:lang w:val="fr-FR"/>
        </w:rPr>
        <w:fldChar w:fldCharType="begin"/>
      </w:r>
      <w:r w:rsidRPr="007F3E67">
        <w:rPr>
          <w:lang w:val="fr-FR"/>
        </w:rPr>
        <w:instrText xml:space="preserve"> SEQ level0 \*arabic </w:instrText>
      </w:r>
      <w:r w:rsidRPr="007F3E67">
        <w:rPr>
          <w:lang w:val="fr-FR"/>
        </w:rPr>
        <w:fldChar w:fldCharType="separate"/>
      </w:r>
      <w:r w:rsidR="007F3E67" w:rsidRPr="007F3E67">
        <w:rPr>
          <w:noProof/>
          <w:lang w:val="fr-FR"/>
        </w:rPr>
        <w:t>99</w:t>
      </w:r>
      <w:r w:rsidRPr="007F3E67">
        <w:rPr>
          <w:lang w:val="fr-FR"/>
        </w:rPr>
        <w:fldChar w:fldCharType="end"/>
      </w:r>
      <w:r w:rsidRPr="007F3E67">
        <w:rPr>
          <w:lang w:val="fr-FR"/>
        </w:rPr>
        <w:t>.  </w:t>
      </w:r>
      <w:r w:rsidR="00596DF1" w:rsidRPr="007F3E67">
        <w:rPr>
          <w:lang w:val="fr-FR"/>
        </w:rPr>
        <w:t>Invoquant l</w:t>
      </w:r>
      <w:r w:rsidR="007F3E67" w:rsidRPr="007F3E67">
        <w:rPr>
          <w:lang w:val="fr-FR"/>
        </w:rPr>
        <w:t>’</w:t>
      </w:r>
      <w:r w:rsidR="00596DF1" w:rsidRPr="007F3E67">
        <w:rPr>
          <w:lang w:val="fr-FR"/>
        </w:rPr>
        <w:t>article 35 § 1 de la Convention, l</w:t>
      </w:r>
      <w:r w:rsidR="009275AD" w:rsidRPr="007F3E67">
        <w:rPr>
          <w:lang w:val="fr-FR"/>
        </w:rPr>
        <w:t>e Gouvernement</w:t>
      </w:r>
      <w:r w:rsidR="00596DF1" w:rsidRPr="007F3E67">
        <w:rPr>
          <w:lang w:val="fr-FR"/>
        </w:rPr>
        <w:t xml:space="preserve"> </w:t>
      </w:r>
      <w:r w:rsidR="008F0F55" w:rsidRPr="007F3E67">
        <w:rPr>
          <w:lang w:val="fr-FR"/>
        </w:rPr>
        <w:t>allègue</w:t>
      </w:r>
      <w:r w:rsidR="00283F50" w:rsidRPr="007F3E67">
        <w:rPr>
          <w:lang w:val="fr-FR"/>
        </w:rPr>
        <w:t xml:space="preserve"> qu</w:t>
      </w:r>
      <w:r w:rsidR="00596DF1" w:rsidRPr="007F3E67">
        <w:rPr>
          <w:lang w:val="fr-FR"/>
        </w:rPr>
        <w:t xml:space="preserve">e, </w:t>
      </w:r>
      <w:r w:rsidR="009275AD" w:rsidRPr="007F3E67">
        <w:rPr>
          <w:lang w:val="fr-FR"/>
        </w:rPr>
        <w:t>au moment</w:t>
      </w:r>
      <w:r w:rsidRPr="007F3E67">
        <w:rPr>
          <w:lang w:val="fr-FR"/>
        </w:rPr>
        <w:t xml:space="preserve"> de l</w:t>
      </w:r>
      <w:r w:rsidR="007F3E67" w:rsidRPr="007F3E67">
        <w:rPr>
          <w:lang w:val="fr-FR"/>
        </w:rPr>
        <w:t>’</w:t>
      </w:r>
      <w:r w:rsidRPr="007F3E67">
        <w:rPr>
          <w:lang w:val="fr-FR"/>
        </w:rPr>
        <w:t xml:space="preserve">introduction des </w:t>
      </w:r>
      <w:r w:rsidR="00596DF1" w:rsidRPr="007F3E67">
        <w:rPr>
          <w:lang w:val="fr-FR"/>
        </w:rPr>
        <w:t xml:space="preserve">deux </w:t>
      </w:r>
      <w:r w:rsidRPr="007F3E67">
        <w:rPr>
          <w:lang w:val="fr-FR"/>
        </w:rPr>
        <w:t>requêtes (respectivement le 27 mai 2009 et le 3 septembre 2010), l</w:t>
      </w:r>
      <w:r w:rsidR="00316CEF" w:rsidRPr="007F3E67">
        <w:rPr>
          <w:lang w:val="fr-FR"/>
        </w:rPr>
        <w:t xml:space="preserve">a procédure pénale était encore </w:t>
      </w:r>
      <w:r w:rsidR="008D0EC5" w:rsidRPr="007F3E67">
        <w:rPr>
          <w:lang w:val="fr-FR"/>
        </w:rPr>
        <w:t>pendante</w:t>
      </w:r>
      <w:r w:rsidR="00B222AD" w:rsidRPr="007F3E67">
        <w:rPr>
          <w:lang w:val="fr-FR"/>
        </w:rPr>
        <w:t xml:space="preserve">. </w:t>
      </w:r>
      <w:r w:rsidR="00596DF1" w:rsidRPr="007F3E67">
        <w:rPr>
          <w:lang w:val="fr-FR"/>
        </w:rPr>
        <w:t>Il indique en particulier que,</w:t>
      </w:r>
      <w:r w:rsidR="008D0EC5" w:rsidRPr="007F3E67">
        <w:rPr>
          <w:lang w:val="fr-FR"/>
        </w:rPr>
        <w:t xml:space="preserve"> </w:t>
      </w:r>
      <w:r w:rsidR="00316CEF" w:rsidRPr="007F3E67">
        <w:rPr>
          <w:lang w:val="fr-FR"/>
        </w:rPr>
        <w:t>e</w:t>
      </w:r>
      <w:r w:rsidR="00362764" w:rsidRPr="007F3E67">
        <w:rPr>
          <w:lang w:val="fr-FR"/>
        </w:rPr>
        <w:t>n ce qui concerne la requête n</w:t>
      </w:r>
      <w:r w:rsidR="00301040" w:rsidRPr="007F3E67">
        <w:rPr>
          <w:vertAlign w:val="superscript"/>
          <w:lang w:val="fr-FR"/>
        </w:rPr>
        <w:t>o</w:t>
      </w:r>
      <w:r w:rsidR="00362764" w:rsidRPr="007F3E67">
        <w:rPr>
          <w:lang w:val="fr-FR"/>
        </w:rPr>
        <w:t> </w:t>
      </w:r>
      <w:r w:rsidR="00B222AD" w:rsidRPr="007F3E67">
        <w:rPr>
          <w:lang w:val="fr-FR"/>
        </w:rPr>
        <w:t>28923/09,</w:t>
      </w:r>
      <w:r w:rsidRPr="007F3E67">
        <w:rPr>
          <w:lang w:val="fr-FR"/>
        </w:rPr>
        <w:t xml:space="preserve"> la cour d</w:t>
      </w:r>
      <w:r w:rsidR="007F3E67" w:rsidRPr="007F3E67">
        <w:rPr>
          <w:lang w:val="fr-FR"/>
        </w:rPr>
        <w:t>’</w:t>
      </w:r>
      <w:r w:rsidRPr="007F3E67">
        <w:rPr>
          <w:lang w:val="fr-FR"/>
        </w:rPr>
        <w:t>appel</w:t>
      </w:r>
      <w:r w:rsidR="00316CEF" w:rsidRPr="007F3E67">
        <w:rPr>
          <w:lang w:val="fr-FR"/>
        </w:rPr>
        <w:t xml:space="preserve"> de G</w:t>
      </w:r>
      <w:r w:rsidR="00596DF1" w:rsidRPr="007F3E67">
        <w:rPr>
          <w:lang w:val="fr-FR"/>
        </w:rPr>
        <w:t>ê</w:t>
      </w:r>
      <w:r w:rsidR="00316CEF" w:rsidRPr="007F3E67">
        <w:rPr>
          <w:lang w:val="fr-FR"/>
        </w:rPr>
        <w:t>nes ne s</w:t>
      </w:r>
      <w:r w:rsidR="007F3E67" w:rsidRPr="007F3E67">
        <w:rPr>
          <w:lang w:val="fr-FR"/>
        </w:rPr>
        <w:t>’</w:t>
      </w:r>
      <w:r w:rsidR="00316CEF" w:rsidRPr="007F3E67">
        <w:rPr>
          <w:lang w:val="fr-FR"/>
        </w:rPr>
        <w:t xml:space="preserve">était pas encore </w:t>
      </w:r>
      <w:r w:rsidRPr="007F3E67">
        <w:rPr>
          <w:lang w:val="fr-FR"/>
        </w:rPr>
        <w:t>pro</w:t>
      </w:r>
      <w:r w:rsidR="009275AD" w:rsidRPr="007F3E67">
        <w:rPr>
          <w:lang w:val="fr-FR"/>
        </w:rPr>
        <w:t>noncée</w:t>
      </w:r>
      <w:r w:rsidR="00B222AD" w:rsidRPr="007F3E67">
        <w:rPr>
          <w:lang w:val="fr-FR"/>
        </w:rPr>
        <w:t xml:space="preserve"> sur les faits litigieux à l</w:t>
      </w:r>
      <w:r w:rsidR="007F3E67" w:rsidRPr="007F3E67">
        <w:rPr>
          <w:lang w:val="fr-FR"/>
        </w:rPr>
        <w:t>’</w:t>
      </w:r>
      <w:r w:rsidR="00B222AD" w:rsidRPr="007F3E67">
        <w:rPr>
          <w:lang w:val="fr-FR"/>
        </w:rPr>
        <w:t>origine de la requête</w:t>
      </w:r>
      <w:r w:rsidR="009275AD" w:rsidRPr="007F3E67">
        <w:rPr>
          <w:lang w:val="fr-FR"/>
        </w:rPr>
        <w:t>.</w:t>
      </w:r>
      <w:r w:rsidR="00B222AD" w:rsidRPr="007F3E67">
        <w:rPr>
          <w:lang w:val="fr-FR"/>
        </w:rPr>
        <w:t xml:space="preserve"> </w:t>
      </w:r>
      <w:r w:rsidR="008D0EC5" w:rsidRPr="007F3E67">
        <w:rPr>
          <w:lang w:val="fr-FR"/>
        </w:rPr>
        <w:t>Pour ce qui est de</w:t>
      </w:r>
      <w:r w:rsidR="00B222AD" w:rsidRPr="007F3E67">
        <w:rPr>
          <w:lang w:val="fr-FR"/>
        </w:rPr>
        <w:t xml:space="preserve"> la requête </w:t>
      </w:r>
      <w:r w:rsidR="00B222AD" w:rsidRPr="007F3E67">
        <w:rPr>
          <w:lang w:val="fr-FR"/>
        </w:rPr>
        <w:lastRenderedPageBreak/>
        <w:t>n</w:t>
      </w:r>
      <w:r w:rsidR="00301040" w:rsidRPr="007F3E67">
        <w:rPr>
          <w:vertAlign w:val="superscript"/>
          <w:lang w:val="fr-FR"/>
        </w:rPr>
        <w:t>o</w:t>
      </w:r>
      <w:r w:rsidR="00362764" w:rsidRPr="007F3E67">
        <w:rPr>
          <w:lang w:val="fr-FR"/>
        </w:rPr>
        <w:t> </w:t>
      </w:r>
      <w:r w:rsidR="00B222AD" w:rsidRPr="007F3E67">
        <w:rPr>
          <w:lang w:val="fr-FR"/>
        </w:rPr>
        <w:t xml:space="preserve">67599/10, </w:t>
      </w:r>
      <w:r w:rsidR="00316CEF" w:rsidRPr="007F3E67">
        <w:rPr>
          <w:lang w:val="fr-FR"/>
        </w:rPr>
        <w:t>il</w:t>
      </w:r>
      <w:r w:rsidR="00B222AD" w:rsidRPr="007F3E67">
        <w:rPr>
          <w:lang w:val="fr-FR"/>
        </w:rPr>
        <w:t xml:space="preserve"> </w:t>
      </w:r>
      <w:r w:rsidR="00596DF1" w:rsidRPr="007F3E67">
        <w:rPr>
          <w:lang w:val="fr-FR"/>
        </w:rPr>
        <w:t xml:space="preserve">expose </w:t>
      </w:r>
      <w:r w:rsidR="00B222AD" w:rsidRPr="007F3E67">
        <w:rPr>
          <w:lang w:val="fr-FR"/>
        </w:rPr>
        <w:t>que la cour d</w:t>
      </w:r>
      <w:r w:rsidR="007F3E67" w:rsidRPr="007F3E67">
        <w:rPr>
          <w:lang w:val="fr-FR"/>
        </w:rPr>
        <w:t>’</w:t>
      </w:r>
      <w:r w:rsidR="00B222AD" w:rsidRPr="007F3E67">
        <w:rPr>
          <w:lang w:val="fr-FR"/>
        </w:rPr>
        <w:t xml:space="preserve">appel </w:t>
      </w:r>
      <w:r w:rsidR="001F3D42" w:rsidRPr="007F3E67">
        <w:rPr>
          <w:lang w:val="fr-FR"/>
        </w:rPr>
        <w:t>n</w:t>
      </w:r>
      <w:r w:rsidR="007F3E67" w:rsidRPr="007F3E67">
        <w:rPr>
          <w:lang w:val="fr-FR"/>
        </w:rPr>
        <w:t>’</w:t>
      </w:r>
      <w:r w:rsidR="00B222AD" w:rsidRPr="007F3E67">
        <w:rPr>
          <w:lang w:val="fr-FR"/>
        </w:rPr>
        <w:t xml:space="preserve">avait </w:t>
      </w:r>
      <w:r w:rsidR="00283F50" w:rsidRPr="007F3E67">
        <w:rPr>
          <w:lang w:val="fr-FR"/>
        </w:rPr>
        <w:t xml:space="preserve">déposé </w:t>
      </w:r>
      <w:r w:rsidR="001F3D42" w:rsidRPr="007F3E67">
        <w:rPr>
          <w:lang w:val="fr-FR"/>
        </w:rPr>
        <w:t xml:space="preserve">que </w:t>
      </w:r>
      <w:r w:rsidR="00283F50" w:rsidRPr="007F3E67">
        <w:rPr>
          <w:lang w:val="fr-FR"/>
        </w:rPr>
        <w:t>le dispositif d</w:t>
      </w:r>
      <w:r w:rsidR="00316CEF" w:rsidRPr="007F3E67">
        <w:rPr>
          <w:lang w:val="fr-FR"/>
        </w:rPr>
        <w:t>e son jugement</w:t>
      </w:r>
      <w:r w:rsidR="00B222AD" w:rsidRPr="007F3E67">
        <w:rPr>
          <w:lang w:val="fr-FR"/>
        </w:rPr>
        <w:t xml:space="preserve"> et que la Cour de cassation </w:t>
      </w:r>
      <w:r w:rsidR="00CC3E8B" w:rsidRPr="007F3E67">
        <w:rPr>
          <w:lang w:val="fr-FR"/>
        </w:rPr>
        <w:t>n</w:t>
      </w:r>
      <w:r w:rsidR="007F3E67" w:rsidRPr="007F3E67">
        <w:rPr>
          <w:lang w:val="fr-FR"/>
        </w:rPr>
        <w:t>’</w:t>
      </w:r>
      <w:r w:rsidR="00316CEF" w:rsidRPr="007F3E67">
        <w:rPr>
          <w:lang w:val="fr-FR"/>
        </w:rPr>
        <w:t xml:space="preserve">avait pas </w:t>
      </w:r>
      <w:r w:rsidR="008D0EC5" w:rsidRPr="007F3E67">
        <w:rPr>
          <w:lang w:val="fr-FR"/>
        </w:rPr>
        <w:t xml:space="preserve">encore </w:t>
      </w:r>
      <w:r w:rsidR="00316CEF" w:rsidRPr="007F3E67">
        <w:rPr>
          <w:lang w:val="fr-FR"/>
        </w:rPr>
        <w:t>été saisi</w:t>
      </w:r>
      <w:r w:rsidR="00CC3E8B" w:rsidRPr="007F3E67">
        <w:rPr>
          <w:lang w:val="fr-FR"/>
        </w:rPr>
        <w:t>e</w:t>
      </w:r>
      <w:r w:rsidR="00B222AD" w:rsidRPr="007F3E67">
        <w:rPr>
          <w:lang w:val="fr-FR"/>
        </w:rPr>
        <w:t>.</w:t>
      </w:r>
    </w:p>
    <w:p w:rsidR="007939DC" w:rsidRPr="007F3E67" w:rsidRDefault="008F0F55" w:rsidP="007F3E67">
      <w:pPr>
        <w:pStyle w:val="ECHRPara"/>
        <w:rPr>
          <w:lang w:val="fr-FR"/>
        </w:rPr>
      </w:pPr>
      <w:r w:rsidRPr="007F3E67">
        <w:rPr>
          <w:lang w:val="fr-FR"/>
        </w:rPr>
        <w:fldChar w:fldCharType="begin"/>
      </w:r>
      <w:r w:rsidRPr="007F3E67">
        <w:rPr>
          <w:lang w:val="fr-FR"/>
        </w:rPr>
        <w:instrText xml:space="preserve"> SEQ level0 \*arabic </w:instrText>
      </w:r>
      <w:r w:rsidRPr="007F3E67">
        <w:rPr>
          <w:lang w:val="fr-FR"/>
        </w:rPr>
        <w:fldChar w:fldCharType="separate"/>
      </w:r>
      <w:r w:rsidR="007F3E67" w:rsidRPr="007F3E67">
        <w:rPr>
          <w:noProof/>
          <w:lang w:val="fr-FR"/>
        </w:rPr>
        <w:t>100</w:t>
      </w:r>
      <w:r w:rsidRPr="007F3E67">
        <w:rPr>
          <w:lang w:val="fr-FR"/>
        </w:rPr>
        <w:fldChar w:fldCharType="end"/>
      </w:r>
      <w:r w:rsidRPr="007F3E67">
        <w:rPr>
          <w:lang w:val="fr-FR"/>
        </w:rPr>
        <w:t>.  </w:t>
      </w:r>
      <w:r w:rsidR="00076799" w:rsidRPr="007F3E67">
        <w:rPr>
          <w:lang w:val="fr-FR"/>
        </w:rPr>
        <w:t xml:space="preserve">De ce fait, le Gouvernement maintient que les requérants </w:t>
      </w:r>
      <w:r w:rsidR="00596DF1" w:rsidRPr="007F3E67">
        <w:rPr>
          <w:lang w:val="fr-FR"/>
        </w:rPr>
        <w:t>n</w:t>
      </w:r>
      <w:r w:rsidR="007F3E67" w:rsidRPr="007F3E67">
        <w:rPr>
          <w:lang w:val="fr-FR"/>
        </w:rPr>
        <w:t>’</w:t>
      </w:r>
      <w:r w:rsidR="00596DF1" w:rsidRPr="007F3E67">
        <w:rPr>
          <w:lang w:val="fr-FR"/>
        </w:rPr>
        <w:t xml:space="preserve">ont </w:t>
      </w:r>
      <w:r w:rsidRPr="007F3E67">
        <w:rPr>
          <w:lang w:val="fr-FR"/>
        </w:rPr>
        <w:t xml:space="preserve">pas épuisé </w:t>
      </w:r>
      <w:r w:rsidR="00596DF1" w:rsidRPr="007F3E67">
        <w:rPr>
          <w:lang w:val="fr-FR"/>
        </w:rPr>
        <w:t>les voies de recours internes</w:t>
      </w:r>
      <w:r w:rsidRPr="007F3E67">
        <w:rPr>
          <w:lang w:val="fr-FR"/>
        </w:rPr>
        <w:t xml:space="preserve"> en matière pénale</w:t>
      </w:r>
      <w:r w:rsidR="00AB1B61" w:rsidRPr="007F3E67">
        <w:rPr>
          <w:lang w:val="fr-FR"/>
        </w:rPr>
        <w:t xml:space="preserve"> et</w:t>
      </w:r>
      <w:r w:rsidRPr="007F3E67">
        <w:rPr>
          <w:lang w:val="fr-FR"/>
        </w:rPr>
        <w:t xml:space="preserve"> que ces derniers, en introduisant leurs requêtes avant la </w:t>
      </w:r>
      <w:r w:rsidR="00596DF1" w:rsidRPr="007F3E67">
        <w:rPr>
          <w:lang w:val="fr-FR"/>
        </w:rPr>
        <w:t xml:space="preserve">fin </w:t>
      </w:r>
      <w:r w:rsidRPr="007F3E67">
        <w:rPr>
          <w:lang w:val="fr-FR"/>
        </w:rPr>
        <w:t xml:space="preserve">de la procédure pénale, </w:t>
      </w:r>
      <w:r w:rsidR="00076799" w:rsidRPr="007F3E67">
        <w:rPr>
          <w:lang w:val="fr-FR"/>
        </w:rPr>
        <w:t>auraient</w:t>
      </w:r>
      <w:r w:rsidRPr="007F3E67">
        <w:rPr>
          <w:lang w:val="fr-FR"/>
        </w:rPr>
        <w:t xml:space="preserve"> de fait</w:t>
      </w:r>
      <w:r w:rsidR="00076799" w:rsidRPr="007F3E67">
        <w:rPr>
          <w:lang w:val="fr-FR"/>
        </w:rPr>
        <w:t xml:space="preserve"> demandé à la Cour de se substituer </w:t>
      </w:r>
      <w:r w:rsidR="00C56C75" w:rsidRPr="007F3E67">
        <w:rPr>
          <w:lang w:val="fr-FR"/>
        </w:rPr>
        <w:t>aux autorités judiciaires nationales en violation du principe de subsidiarité.</w:t>
      </w:r>
    </w:p>
    <w:p w:rsidR="00301040" w:rsidRPr="007F3E67" w:rsidRDefault="008F0F55" w:rsidP="007F3E67">
      <w:pPr>
        <w:pStyle w:val="ECHRPara"/>
        <w:rPr>
          <w:lang w:val="fr-FR"/>
        </w:rPr>
      </w:pPr>
      <w:r w:rsidRPr="007F3E67">
        <w:rPr>
          <w:lang w:val="fr-FR"/>
        </w:rPr>
        <w:fldChar w:fldCharType="begin"/>
      </w:r>
      <w:r w:rsidRPr="007F3E67">
        <w:rPr>
          <w:lang w:val="fr-FR"/>
        </w:rPr>
        <w:instrText xml:space="preserve"> SEQ level0 \*arabic </w:instrText>
      </w:r>
      <w:r w:rsidRPr="007F3E67">
        <w:rPr>
          <w:lang w:val="fr-FR"/>
        </w:rPr>
        <w:fldChar w:fldCharType="separate"/>
      </w:r>
      <w:r w:rsidR="007F3E67" w:rsidRPr="007F3E67">
        <w:rPr>
          <w:noProof/>
          <w:lang w:val="fr-FR"/>
        </w:rPr>
        <w:t>101</w:t>
      </w:r>
      <w:r w:rsidRPr="007F3E67">
        <w:rPr>
          <w:lang w:val="fr-FR"/>
        </w:rPr>
        <w:fldChar w:fldCharType="end"/>
      </w:r>
      <w:r w:rsidRPr="007F3E67">
        <w:rPr>
          <w:lang w:val="fr-FR"/>
        </w:rPr>
        <w:t>.  </w:t>
      </w:r>
      <w:r w:rsidR="006D02E3" w:rsidRPr="007F3E67">
        <w:rPr>
          <w:lang w:val="fr-FR"/>
        </w:rPr>
        <w:t xml:space="preserve">Les requérants </w:t>
      </w:r>
      <w:r w:rsidR="005E5F5C" w:rsidRPr="007F3E67">
        <w:rPr>
          <w:lang w:val="fr-FR"/>
        </w:rPr>
        <w:t>répliquent</w:t>
      </w:r>
      <w:r w:rsidR="006D02E3" w:rsidRPr="007F3E67">
        <w:rPr>
          <w:lang w:val="fr-FR"/>
        </w:rPr>
        <w:t xml:space="preserve"> qu</w:t>
      </w:r>
      <w:r w:rsidR="00596DF1" w:rsidRPr="007F3E67">
        <w:rPr>
          <w:lang w:val="fr-FR"/>
        </w:rPr>
        <w:t xml:space="preserve">e, </w:t>
      </w:r>
      <w:r w:rsidR="006D02E3" w:rsidRPr="007F3E67">
        <w:rPr>
          <w:lang w:val="fr-FR"/>
        </w:rPr>
        <w:t>en raison de l</w:t>
      </w:r>
      <w:r w:rsidR="007F3E67" w:rsidRPr="007F3E67">
        <w:rPr>
          <w:lang w:val="fr-FR"/>
        </w:rPr>
        <w:t>’</w:t>
      </w:r>
      <w:r w:rsidR="006D02E3" w:rsidRPr="007F3E67">
        <w:rPr>
          <w:lang w:val="fr-FR"/>
        </w:rPr>
        <w:t>absence d</w:t>
      </w:r>
      <w:r w:rsidR="00076799" w:rsidRPr="007F3E67">
        <w:rPr>
          <w:lang w:val="fr-FR"/>
        </w:rPr>
        <w:t>e dispositions législatives pénales réprimant les pratiques contraires à l</w:t>
      </w:r>
      <w:r w:rsidR="007F3E67" w:rsidRPr="007F3E67">
        <w:rPr>
          <w:lang w:val="fr-FR"/>
        </w:rPr>
        <w:t>’</w:t>
      </w:r>
      <w:r w:rsidR="00076799" w:rsidRPr="007F3E67">
        <w:rPr>
          <w:lang w:val="fr-FR"/>
        </w:rPr>
        <w:t>article</w:t>
      </w:r>
      <w:r w:rsidR="00596DF1" w:rsidRPr="007F3E67">
        <w:rPr>
          <w:lang w:val="fr-FR"/>
        </w:rPr>
        <w:t> </w:t>
      </w:r>
      <w:r w:rsidR="00076799" w:rsidRPr="007F3E67">
        <w:rPr>
          <w:lang w:val="fr-FR"/>
        </w:rPr>
        <w:t>3 de la Convention</w:t>
      </w:r>
      <w:r w:rsidR="006D02E3" w:rsidRPr="007F3E67">
        <w:rPr>
          <w:lang w:val="fr-FR"/>
        </w:rPr>
        <w:t>, la qualificatio</w:t>
      </w:r>
      <w:r w:rsidR="006C188A" w:rsidRPr="007F3E67">
        <w:rPr>
          <w:lang w:val="fr-FR"/>
        </w:rPr>
        <w:t xml:space="preserve">n </w:t>
      </w:r>
      <w:r w:rsidR="00B732FB" w:rsidRPr="007F3E67">
        <w:rPr>
          <w:lang w:val="fr-FR"/>
        </w:rPr>
        <w:t>des faits</w:t>
      </w:r>
      <w:r w:rsidR="00513BE3" w:rsidRPr="007F3E67">
        <w:rPr>
          <w:lang w:val="fr-FR"/>
        </w:rPr>
        <w:t xml:space="preserve"> retenue</w:t>
      </w:r>
      <w:r w:rsidR="006D02E3" w:rsidRPr="007F3E67">
        <w:rPr>
          <w:lang w:val="fr-FR"/>
        </w:rPr>
        <w:t xml:space="preserve"> par les juges internes </w:t>
      </w:r>
      <w:r w:rsidR="000138C9" w:rsidRPr="007F3E67">
        <w:rPr>
          <w:lang w:val="fr-FR"/>
        </w:rPr>
        <w:t>était</w:t>
      </w:r>
      <w:r w:rsidR="006D02E3" w:rsidRPr="007F3E67">
        <w:rPr>
          <w:lang w:val="fr-FR"/>
        </w:rPr>
        <w:t xml:space="preserve"> insuffisante par rapport à </w:t>
      </w:r>
      <w:r w:rsidR="000138C9" w:rsidRPr="007F3E67">
        <w:rPr>
          <w:lang w:val="fr-FR"/>
        </w:rPr>
        <w:t xml:space="preserve">la </w:t>
      </w:r>
      <w:r w:rsidR="006D02E3" w:rsidRPr="007F3E67">
        <w:rPr>
          <w:lang w:val="fr-FR"/>
        </w:rPr>
        <w:t>gravité</w:t>
      </w:r>
      <w:r w:rsidR="000138C9" w:rsidRPr="007F3E67">
        <w:rPr>
          <w:lang w:val="fr-FR"/>
        </w:rPr>
        <w:t xml:space="preserve"> des faits en question</w:t>
      </w:r>
      <w:r w:rsidR="004A24D4" w:rsidRPr="007F3E67">
        <w:rPr>
          <w:lang w:val="fr-FR"/>
        </w:rPr>
        <w:t>. En outre</w:t>
      </w:r>
      <w:r w:rsidR="007301B2" w:rsidRPr="007F3E67">
        <w:rPr>
          <w:lang w:val="fr-FR"/>
        </w:rPr>
        <w:t>, ils insistent sur le fait que cette qualification</w:t>
      </w:r>
      <w:r w:rsidR="006C188A" w:rsidRPr="007F3E67">
        <w:rPr>
          <w:lang w:val="fr-FR"/>
        </w:rPr>
        <w:t xml:space="preserve"> n</w:t>
      </w:r>
      <w:r w:rsidR="007F3E67" w:rsidRPr="007F3E67">
        <w:rPr>
          <w:lang w:val="fr-FR"/>
        </w:rPr>
        <w:t>’</w:t>
      </w:r>
      <w:r w:rsidR="006C188A" w:rsidRPr="007F3E67">
        <w:rPr>
          <w:lang w:val="fr-FR"/>
        </w:rPr>
        <w:t>a</w:t>
      </w:r>
      <w:r w:rsidR="00362764" w:rsidRPr="007F3E67">
        <w:rPr>
          <w:lang w:val="fr-FR"/>
        </w:rPr>
        <w:t xml:space="preserve"> pu empêcher l</w:t>
      </w:r>
      <w:r w:rsidR="007F3E67" w:rsidRPr="007F3E67">
        <w:rPr>
          <w:lang w:val="fr-FR"/>
        </w:rPr>
        <w:t>’</w:t>
      </w:r>
      <w:r w:rsidR="00362764" w:rsidRPr="007F3E67">
        <w:rPr>
          <w:lang w:val="fr-FR"/>
        </w:rPr>
        <w:t>application de la prescription à la quasi-totalité des infractions</w:t>
      </w:r>
      <w:r w:rsidR="000138C9" w:rsidRPr="007F3E67">
        <w:rPr>
          <w:lang w:val="fr-FR"/>
        </w:rPr>
        <w:t xml:space="preserve"> en cause</w:t>
      </w:r>
      <w:r w:rsidR="00362764" w:rsidRPr="007F3E67">
        <w:rPr>
          <w:lang w:val="fr-FR"/>
        </w:rPr>
        <w:t>.</w:t>
      </w:r>
      <w:r w:rsidR="00B732FB" w:rsidRPr="007F3E67">
        <w:rPr>
          <w:lang w:val="fr-FR"/>
        </w:rPr>
        <w:t xml:space="preserve"> </w:t>
      </w:r>
      <w:r w:rsidR="00362764" w:rsidRPr="007F3E67">
        <w:rPr>
          <w:lang w:val="fr-FR"/>
        </w:rPr>
        <w:t>I</w:t>
      </w:r>
      <w:r w:rsidR="006D02E3" w:rsidRPr="007F3E67">
        <w:rPr>
          <w:lang w:val="fr-FR"/>
        </w:rPr>
        <w:t xml:space="preserve">ls </w:t>
      </w:r>
      <w:r w:rsidR="000138C9" w:rsidRPr="007F3E67">
        <w:rPr>
          <w:lang w:val="fr-FR"/>
        </w:rPr>
        <w:t xml:space="preserve">soutiennent </w:t>
      </w:r>
      <w:r w:rsidR="005E5F5C" w:rsidRPr="007F3E67">
        <w:rPr>
          <w:lang w:val="fr-FR"/>
        </w:rPr>
        <w:t xml:space="preserve">également </w:t>
      </w:r>
      <w:r w:rsidR="006E3643" w:rsidRPr="007F3E67">
        <w:rPr>
          <w:lang w:val="fr-FR"/>
        </w:rPr>
        <w:t>que les peines adoptées</w:t>
      </w:r>
      <w:r w:rsidR="006D02E3" w:rsidRPr="007F3E67">
        <w:rPr>
          <w:lang w:val="fr-FR"/>
        </w:rPr>
        <w:t xml:space="preserve"> ont été </w:t>
      </w:r>
      <w:r w:rsidR="00362764" w:rsidRPr="007F3E67">
        <w:rPr>
          <w:lang w:val="fr-FR"/>
        </w:rPr>
        <w:t>fortement réduites</w:t>
      </w:r>
      <w:r w:rsidR="006D02E3" w:rsidRPr="007F3E67">
        <w:rPr>
          <w:lang w:val="fr-FR"/>
        </w:rPr>
        <w:t xml:space="preserve"> en application </w:t>
      </w:r>
      <w:r w:rsidR="000138C9" w:rsidRPr="007F3E67">
        <w:rPr>
          <w:lang w:val="fr-FR"/>
        </w:rPr>
        <w:t>des dispositions de</w:t>
      </w:r>
      <w:r w:rsidR="00DD3007" w:rsidRPr="007F3E67">
        <w:rPr>
          <w:lang w:val="fr-FR"/>
        </w:rPr>
        <w:t xml:space="preserve"> la</w:t>
      </w:r>
      <w:r w:rsidR="000138C9" w:rsidRPr="007F3E67">
        <w:rPr>
          <w:lang w:val="fr-FR"/>
        </w:rPr>
        <w:t xml:space="preserve"> loi n</w:t>
      </w:r>
      <w:r w:rsidR="000138C9" w:rsidRPr="007F3E67">
        <w:rPr>
          <w:vertAlign w:val="superscript"/>
          <w:lang w:val="fr-FR"/>
        </w:rPr>
        <w:t>o</w:t>
      </w:r>
      <w:r w:rsidR="000138C9" w:rsidRPr="007F3E67">
        <w:rPr>
          <w:lang w:val="fr-FR"/>
        </w:rPr>
        <w:t> 241/2006 relatives à</w:t>
      </w:r>
      <w:r w:rsidR="006D02E3" w:rsidRPr="007F3E67">
        <w:rPr>
          <w:lang w:val="fr-FR"/>
        </w:rPr>
        <w:t xml:space="preserve"> la</w:t>
      </w:r>
      <w:r w:rsidR="005E5F5C" w:rsidRPr="007F3E67">
        <w:rPr>
          <w:lang w:val="fr-FR"/>
        </w:rPr>
        <w:t xml:space="preserve"> remise de peine de trois ans</w:t>
      </w:r>
      <w:r w:rsidR="006C188A" w:rsidRPr="007F3E67">
        <w:rPr>
          <w:lang w:val="fr-FR"/>
        </w:rPr>
        <w:t>.</w:t>
      </w:r>
      <w:r w:rsidR="00362764" w:rsidRPr="007F3E67">
        <w:rPr>
          <w:lang w:val="fr-FR"/>
        </w:rPr>
        <w:t xml:space="preserve"> </w:t>
      </w:r>
      <w:r w:rsidR="007301B2" w:rsidRPr="007F3E67">
        <w:rPr>
          <w:lang w:val="fr-FR"/>
        </w:rPr>
        <w:t xml:space="preserve">Ils </w:t>
      </w:r>
      <w:r w:rsidR="000138C9" w:rsidRPr="007F3E67">
        <w:rPr>
          <w:lang w:val="fr-FR"/>
        </w:rPr>
        <w:t xml:space="preserve">allèguent </w:t>
      </w:r>
      <w:r w:rsidR="007301B2" w:rsidRPr="007F3E67">
        <w:rPr>
          <w:lang w:val="fr-FR"/>
        </w:rPr>
        <w:t xml:space="preserve">enfin que le bilan de la procédure pénale interne </w:t>
      </w:r>
      <w:r w:rsidR="000138C9" w:rsidRPr="007F3E67">
        <w:rPr>
          <w:lang w:val="fr-FR"/>
        </w:rPr>
        <w:t>est seulement de</w:t>
      </w:r>
      <w:r w:rsidR="007301B2" w:rsidRPr="007F3E67">
        <w:rPr>
          <w:lang w:val="fr-FR"/>
        </w:rPr>
        <w:t xml:space="preserve"> </w:t>
      </w:r>
      <w:r w:rsidR="006E3643" w:rsidRPr="007F3E67">
        <w:rPr>
          <w:lang w:val="fr-FR"/>
        </w:rPr>
        <w:t>huit</w:t>
      </w:r>
      <w:r w:rsidR="007301B2" w:rsidRPr="007F3E67">
        <w:rPr>
          <w:lang w:val="fr-FR"/>
        </w:rPr>
        <w:t xml:space="preserve"> condamnations définitives</w:t>
      </w:r>
      <w:r w:rsidR="004A24D4" w:rsidRPr="007F3E67">
        <w:rPr>
          <w:lang w:val="fr-FR"/>
        </w:rPr>
        <w:t xml:space="preserve"> pour des délits mineurs (</w:t>
      </w:r>
      <w:r w:rsidR="00D95364" w:rsidRPr="007F3E67">
        <w:rPr>
          <w:szCs w:val="24"/>
          <w:lang w:val="fr-FR"/>
        </w:rPr>
        <w:t>abus d</w:t>
      </w:r>
      <w:r w:rsidR="007F3E67" w:rsidRPr="007F3E67">
        <w:rPr>
          <w:szCs w:val="24"/>
          <w:lang w:val="fr-FR"/>
        </w:rPr>
        <w:t>’</w:t>
      </w:r>
      <w:r w:rsidR="00D95364" w:rsidRPr="007F3E67">
        <w:rPr>
          <w:szCs w:val="24"/>
          <w:lang w:val="fr-FR"/>
        </w:rPr>
        <w:t>autorité publique, faux et</w:t>
      </w:r>
      <w:r w:rsidR="00D95364" w:rsidRPr="007F3E67">
        <w:rPr>
          <w:lang w:val="fr-FR"/>
        </w:rPr>
        <w:t xml:space="preserve"> </w:t>
      </w:r>
      <w:r w:rsidR="004A24D4" w:rsidRPr="007F3E67">
        <w:rPr>
          <w:lang w:val="fr-FR"/>
        </w:rPr>
        <w:t>lésions volontaires)</w:t>
      </w:r>
      <w:r w:rsidR="000138C9" w:rsidRPr="007F3E67">
        <w:rPr>
          <w:lang w:val="fr-FR"/>
        </w:rPr>
        <w:t xml:space="preserve"> et de</w:t>
      </w:r>
      <w:r w:rsidR="007301B2" w:rsidRPr="007F3E67">
        <w:rPr>
          <w:lang w:val="fr-FR"/>
        </w:rPr>
        <w:t xml:space="preserve"> </w:t>
      </w:r>
      <w:r w:rsidR="004A24D4" w:rsidRPr="007F3E67">
        <w:rPr>
          <w:lang w:val="fr-FR"/>
        </w:rPr>
        <w:t xml:space="preserve">quatre </w:t>
      </w:r>
      <w:r w:rsidR="000138C9" w:rsidRPr="007F3E67">
        <w:rPr>
          <w:lang w:val="fr-FR"/>
        </w:rPr>
        <w:t xml:space="preserve">acquittements, </w:t>
      </w:r>
      <w:r w:rsidR="004A24D4" w:rsidRPr="007F3E67">
        <w:rPr>
          <w:lang w:val="fr-FR"/>
        </w:rPr>
        <w:t xml:space="preserve">et </w:t>
      </w:r>
      <w:r w:rsidR="000138C9" w:rsidRPr="007F3E67">
        <w:rPr>
          <w:lang w:val="fr-FR"/>
        </w:rPr>
        <w:t>que la prescription a été appliquée</w:t>
      </w:r>
      <w:r w:rsidR="004A24D4" w:rsidRPr="007F3E67">
        <w:rPr>
          <w:lang w:val="fr-FR"/>
        </w:rPr>
        <w:t xml:space="preserve"> pour tous les autres délits </w:t>
      </w:r>
      <w:r w:rsidR="000138C9" w:rsidRPr="007F3E67">
        <w:rPr>
          <w:lang w:val="fr-FR"/>
        </w:rPr>
        <w:t xml:space="preserve">reprochés </w:t>
      </w:r>
      <w:r w:rsidR="004A24D4" w:rsidRPr="007F3E67">
        <w:rPr>
          <w:lang w:val="fr-FR"/>
        </w:rPr>
        <w:t xml:space="preserve">aux quarante-cinq </w:t>
      </w:r>
      <w:r w:rsidR="001971A5" w:rsidRPr="007F3E67">
        <w:rPr>
          <w:lang w:val="fr-FR"/>
        </w:rPr>
        <w:t>accus</w:t>
      </w:r>
      <w:r w:rsidR="004A24D4" w:rsidRPr="007F3E67">
        <w:rPr>
          <w:lang w:val="fr-FR"/>
        </w:rPr>
        <w:t>és</w:t>
      </w:r>
      <w:r w:rsidR="00513BE3" w:rsidRPr="007F3E67">
        <w:rPr>
          <w:lang w:val="fr-FR"/>
        </w:rPr>
        <w:t xml:space="preserve">. </w:t>
      </w:r>
      <w:r w:rsidR="006C188A" w:rsidRPr="007F3E67">
        <w:rPr>
          <w:lang w:val="fr-FR"/>
        </w:rPr>
        <w:t>En matière de prescription, i</w:t>
      </w:r>
      <w:r w:rsidR="00513BE3" w:rsidRPr="007F3E67">
        <w:rPr>
          <w:lang w:val="fr-FR"/>
        </w:rPr>
        <w:t xml:space="preserve">ls </w:t>
      </w:r>
      <w:r w:rsidR="009F66CE" w:rsidRPr="007F3E67">
        <w:rPr>
          <w:lang w:val="fr-FR"/>
        </w:rPr>
        <w:t>indiquent</w:t>
      </w:r>
      <w:r w:rsidR="000138C9" w:rsidRPr="007F3E67">
        <w:rPr>
          <w:lang w:val="fr-FR"/>
        </w:rPr>
        <w:t xml:space="preserve"> notamment</w:t>
      </w:r>
      <w:r w:rsidR="00C56C75" w:rsidRPr="007F3E67">
        <w:rPr>
          <w:lang w:val="fr-FR"/>
        </w:rPr>
        <w:t xml:space="preserve"> </w:t>
      </w:r>
      <w:r w:rsidR="00513BE3" w:rsidRPr="007F3E67">
        <w:rPr>
          <w:lang w:val="fr-FR"/>
        </w:rPr>
        <w:t>que le procureur général de Gênes a soulevé</w:t>
      </w:r>
      <w:r w:rsidR="006C188A" w:rsidRPr="007F3E67">
        <w:rPr>
          <w:lang w:val="fr-FR"/>
        </w:rPr>
        <w:t xml:space="preserve"> devant la Cour de cassation</w:t>
      </w:r>
      <w:r w:rsidR="00513BE3" w:rsidRPr="007F3E67">
        <w:rPr>
          <w:lang w:val="fr-FR"/>
        </w:rPr>
        <w:t xml:space="preserve"> une exception d</w:t>
      </w:r>
      <w:r w:rsidR="007F3E67" w:rsidRPr="007F3E67">
        <w:rPr>
          <w:lang w:val="fr-FR"/>
        </w:rPr>
        <w:t>’</w:t>
      </w:r>
      <w:r w:rsidR="00513BE3" w:rsidRPr="007F3E67">
        <w:rPr>
          <w:lang w:val="fr-FR"/>
        </w:rPr>
        <w:t>inconstitutionnalité</w:t>
      </w:r>
      <w:r w:rsidR="006C188A" w:rsidRPr="007F3E67">
        <w:rPr>
          <w:lang w:val="fr-FR"/>
        </w:rPr>
        <w:t xml:space="preserve"> </w:t>
      </w:r>
      <w:r w:rsidR="005E5F5C" w:rsidRPr="007F3E67">
        <w:rPr>
          <w:lang w:val="fr-FR"/>
        </w:rPr>
        <w:t>concernant</w:t>
      </w:r>
      <w:r w:rsidR="00076799" w:rsidRPr="007F3E67">
        <w:rPr>
          <w:lang w:val="fr-FR"/>
        </w:rPr>
        <w:t xml:space="preserve"> l</w:t>
      </w:r>
      <w:r w:rsidR="007F3E67" w:rsidRPr="007F3E67">
        <w:rPr>
          <w:lang w:val="fr-FR"/>
        </w:rPr>
        <w:t>’</w:t>
      </w:r>
      <w:r w:rsidR="00513BE3" w:rsidRPr="007F3E67">
        <w:rPr>
          <w:lang w:val="fr-FR"/>
        </w:rPr>
        <w:t xml:space="preserve">application </w:t>
      </w:r>
      <w:r w:rsidR="00405328" w:rsidRPr="007F3E67">
        <w:rPr>
          <w:lang w:val="fr-FR"/>
        </w:rPr>
        <w:t>de la prescription</w:t>
      </w:r>
      <w:r w:rsidR="005E5F5C" w:rsidRPr="007F3E67">
        <w:rPr>
          <w:lang w:val="fr-FR"/>
        </w:rPr>
        <w:t xml:space="preserve"> et de</w:t>
      </w:r>
      <w:r w:rsidR="00513BE3" w:rsidRPr="007F3E67">
        <w:rPr>
          <w:lang w:val="fr-FR"/>
        </w:rPr>
        <w:t xml:space="preserve"> la remise de peine à des délits </w:t>
      </w:r>
      <w:r w:rsidR="005E5F5C" w:rsidRPr="007F3E67">
        <w:rPr>
          <w:lang w:val="fr-FR"/>
        </w:rPr>
        <w:t xml:space="preserve">pouvant </w:t>
      </w:r>
      <w:r w:rsidR="00405328" w:rsidRPr="007F3E67">
        <w:rPr>
          <w:lang w:val="fr-FR"/>
        </w:rPr>
        <w:t>être qualifiés</w:t>
      </w:r>
      <w:r w:rsidR="005E5F5C" w:rsidRPr="007F3E67">
        <w:rPr>
          <w:lang w:val="fr-FR"/>
        </w:rPr>
        <w:t xml:space="preserve"> de</w:t>
      </w:r>
      <w:r w:rsidR="00513BE3" w:rsidRPr="007F3E67">
        <w:rPr>
          <w:lang w:val="fr-FR"/>
        </w:rPr>
        <w:t xml:space="preserve"> torture</w:t>
      </w:r>
      <w:r w:rsidR="005E5F5C" w:rsidRPr="007F3E67">
        <w:rPr>
          <w:lang w:val="fr-FR"/>
        </w:rPr>
        <w:t xml:space="preserve"> </w:t>
      </w:r>
      <w:r w:rsidR="00405328" w:rsidRPr="007F3E67">
        <w:rPr>
          <w:lang w:val="fr-FR"/>
        </w:rPr>
        <w:t>au sens</w:t>
      </w:r>
      <w:r w:rsidR="005E5F5C" w:rsidRPr="007F3E67">
        <w:rPr>
          <w:lang w:val="fr-FR"/>
        </w:rPr>
        <w:t xml:space="preserve"> de l</w:t>
      </w:r>
      <w:r w:rsidR="007F3E67" w:rsidRPr="007F3E67">
        <w:rPr>
          <w:lang w:val="fr-FR"/>
        </w:rPr>
        <w:t>’</w:t>
      </w:r>
      <w:r w:rsidR="005E5F5C" w:rsidRPr="007F3E67">
        <w:rPr>
          <w:lang w:val="fr-FR"/>
        </w:rPr>
        <w:t>article 3 de la Convention</w:t>
      </w:r>
      <w:r w:rsidR="00513BE3" w:rsidRPr="007F3E67">
        <w:rPr>
          <w:lang w:val="fr-FR"/>
        </w:rPr>
        <w:t>.</w:t>
      </w:r>
    </w:p>
    <w:p w:rsidR="00301040" w:rsidRPr="007F3E67" w:rsidRDefault="00513BE3" w:rsidP="007F3E67">
      <w:pPr>
        <w:pStyle w:val="ECHRPara"/>
        <w:rPr>
          <w:lang w:val="fr-FR"/>
        </w:rPr>
      </w:pPr>
      <w:r w:rsidRPr="007F3E67">
        <w:rPr>
          <w:lang w:val="fr-FR"/>
        </w:rPr>
        <w:fldChar w:fldCharType="begin"/>
      </w:r>
      <w:r w:rsidRPr="007F3E67">
        <w:rPr>
          <w:lang w:val="fr-FR"/>
        </w:rPr>
        <w:instrText xml:space="preserve"> SEQ level0 \*arabic </w:instrText>
      </w:r>
      <w:r w:rsidRPr="007F3E67">
        <w:rPr>
          <w:lang w:val="fr-FR"/>
        </w:rPr>
        <w:fldChar w:fldCharType="separate"/>
      </w:r>
      <w:r w:rsidR="007F3E67" w:rsidRPr="007F3E67">
        <w:rPr>
          <w:noProof/>
          <w:lang w:val="fr-FR"/>
        </w:rPr>
        <w:t>102</w:t>
      </w:r>
      <w:r w:rsidRPr="007F3E67">
        <w:rPr>
          <w:lang w:val="fr-FR"/>
        </w:rPr>
        <w:fldChar w:fldCharType="end"/>
      </w:r>
      <w:r w:rsidRPr="007F3E67">
        <w:rPr>
          <w:lang w:val="fr-FR"/>
        </w:rPr>
        <w:t>.  </w:t>
      </w:r>
      <w:r w:rsidR="009F66CE" w:rsidRPr="007F3E67">
        <w:rPr>
          <w:lang w:val="fr-FR"/>
        </w:rPr>
        <w:t>Partant, i</w:t>
      </w:r>
      <w:r w:rsidRPr="007F3E67">
        <w:rPr>
          <w:lang w:val="fr-FR"/>
        </w:rPr>
        <w:t xml:space="preserve">ls </w:t>
      </w:r>
      <w:r w:rsidR="00AB1B61" w:rsidRPr="007F3E67">
        <w:rPr>
          <w:lang w:val="fr-FR"/>
        </w:rPr>
        <w:t xml:space="preserve">estiment </w:t>
      </w:r>
      <w:r w:rsidRPr="007F3E67">
        <w:rPr>
          <w:lang w:val="fr-FR"/>
        </w:rPr>
        <w:t>que</w:t>
      </w:r>
      <w:r w:rsidR="00B732FB" w:rsidRPr="007F3E67">
        <w:rPr>
          <w:lang w:val="fr-FR"/>
        </w:rPr>
        <w:t xml:space="preserve"> le système national n</w:t>
      </w:r>
      <w:r w:rsidR="007F3E67" w:rsidRPr="007F3E67">
        <w:rPr>
          <w:lang w:val="fr-FR"/>
        </w:rPr>
        <w:t>’</w:t>
      </w:r>
      <w:r w:rsidR="00B732FB" w:rsidRPr="007F3E67">
        <w:rPr>
          <w:lang w:val="fr-FR"/>
        </w:rPr>
        <w:t xml:space="preserve">offre pas un remède adéquat et efficace contre </w:t>
      </w:r>
      <w:r w:rsidRPr="007F3E67">
        <w:rPr>
          <w:lang w:val="fr-FR"/>
        </w:rPr>
        <w:t>l</w:t>
      </w:r>
      <w:r w:rsidR="00B732FB" w:rsidRPr="007F3E67">
        <w:rPr>
          <w:lang w:val="fr-FR"/>
        </w:rPr>
        <w:t>es actes de torture</w:t>
      </w:r>
      <w:r w:rsidRPr="007F3E67">
        <w:rPr>
          <w:lang w:val="fr-FR"/>
        </w:rPr>
        <w:t xml:space="preserve"> et citent à cet effet les arrêts rendus dans les affaires </w:t>
      </w:r>
      <w:r w:rsidRPr="007F3E67">
        <w:rPr>
          <w:i/>
          <w:lang w:val="fr-FR"/>
        </w:rPr>
        <w:t>Zontul c. Grèce</w:t>
      </w:r>
      <w:r w:rsidRPr="007F3E67">
        <w:rPr>
          <w:lang w:val="fr-FR"/>
        </w:rPr>
        <w:t xml:space="preserve"> (n</w:t>
      </w:r>
      <w:r w:rsidRPr="007F3E67">
        <w:rPr>
          <w:vertAlign w:val="superscript"/>
          <w:lang w:val="fr-FR"/>
        </w:rPr>
        <w:t>o </w:t>
      </w:r>
      <w:r w:rsidRPr="007F3E67">
        <w:rPr>
          <w:lang w:val="fr-FR"/>
        </w:rPr>
        <w:t>12294/07</w:t>
      </w:r>
      <w:r w:rsidRPr="007F3E67">
        <w:rPr>
          <w:snapToGrid w:val="0"/>
          <w:szCs w:val="24"/>
          <w:lang w:val="fr-FR"/>
        </w:rPr>
        <w:t xml:space="preserve">, § 96, 17 </w:t>
      </w:r>
      <w:r w:rsidRPr="007F3E67">
        <w:rPr>
          <w:szCs w:val="24"/>
          <w:lang w:val="fr-FR"/>
        </w:rPr>
        <w:t>janvier</w:t>
      </w:r>
      <w:r w:rsidRPr="007F3E67">
        <w:rPr>
          <w:snapToGrid w:val="0"/>
          <w:szCs w:val="24"/>
          <w:lang w:val="fr-FR"/>
        </w:rPr>
        <w:t xml:space="preserve"> 2012), </w:t>
      </w:r>
      <w:r w:rsidRPr="007F3E67">
        <w:rPr>
          <w:i/>
          <w:lang w:val="fr-FR"/>
        </w:rPr>
        <w:t xml:space="preserve">Gäfgen </w:t>
      </w:r>
      <w:r w:rsidRPr="007F3E67">
        <w:rPr>
          <w:lang w:val="fr-FR"/>
        </w:rPr>
        <w:t>(</w:t>
      </w:r>
      <w:r w:rsidR="00D95364" w:rsidRPr="007F3E67">
        <w:rPr>
          <w:lang w:val="fr-FR"/>
        </w:rPr>
        <w:t>précité</w:t>
      </w:r>
      <w:r w:rsidRPr="007F3E67">
        <w:rPr>
          <w:lang w:val="fr-FR"/>
        </w:rPr>
        <w:t>, § 117) et</w:t>
      </w:r>
      <w:r w:rsidRPr="007F3E67">
        <w:rPr>
          <w:i/>
          <w:lang w:val="fr-FR"/>
        </w:rPr>
        <w:t xml:space="preserve"> Beganović c. Croatie</w:t>
      </w:r>
      <w:r w:rsidRPr="007F3E67">
        <w:rPr>
          <w:lang w:val="fr-FR"/>
        </w:rPr>
        <w:t xml:space="preserve"> (n</w:t>
      </w:r>
      <w:r w:rsidRPr="007F3E67">
        <w:rPr>
          <w:vertAlign w:val="superscript"/>
          <w:lang w:val="fr-FR"/>
        </w:rPr>
        <w:t>o</w:t>
      </w:r>
      <w:r w:rsidR="00182005" w:rsidRPr="007F3E67">
        <w:rPr>
          <w:lang w:val="fr-FR"/>
        </w:rPr>
        <w:t> </w:t>
      </w:r>
      <w:r w:rsidRPr="007F3E67">
        <w:rPr>
          <w:lang w:val="fr-FR"/>
        </w:rPr>
        <w:t>46423/06</w:t>
      </w:r>
      <w:r w:rsidRPr="007F3E67">
        <w:rPr>
          <w:snapToGrid w:val="0"/>
          <w:lang w:val="fr-FR"/>
        </w:rPr>
        <w:t>, §§</w:t>
      </w:r>
      <w:r w:rsidR="009D7CBD" w:rsidRPr="007F3E67">
        <w:rPr>
          <w:snapToGrid w:val="0"/>
          <w:lang w:val="fr-FR"/>
        </w:rPr>
        <w:t> </w:t>
      </w:r>
      <w:r w:rsidRPr="007F3E67">
        <w:rPr>
          <w:snapToGrid w:val="0"/>
          <w:lang w:val="fr-FR"/>
        </w:rPr>
        <w:t>69</w:t>
      </w:r>
      <w:r w:rsidR="009206B2" w:rsidRPr="007F3E67">
        <w:rPr>
          <w:snapToGrid w:val="0"/>
          <w:lang w:val="fr-FR"/>
        </w:rPr>
        <w:noBreakHyphen/>
      </w:r>
      <w:r w:rsidRPr="007F3E67">
        <w:rPr>
          <w:snapToGrid w:val="0"/>
          <w:lang w:val="fr-FR"/>
        </w:rPr>
        <w:t xml:space="preserve">72, </w:t>
      </w:r>
      <w:r w:rsidRPr="007F3E67">
        <w:rPr>
          <w:lang w:val="fr-FR"/>
        </w:rPr>
        <w:t>25 juin 2009).</w:t>
      </w:r>
    </w:p>
    <w:p w:rsidR="006D02E3" w:rsidRPr="007F3E67" w:rsidRDefault="006D02E3" w:rsidP="007F3E67">
      <w:pPr>
        <w:pStyle w:val="ECHRHeading5"/>
        <w:rPr>
          <w:lang w:val="fr-FR"/>
        </w:rPr>
      </w:pPr>
      <w:r w:rsidRPr="007F3E67">
        <w:rPr>
          <w:lang w:val="fr-FR"/>
        </w:rPr>
        <w:t>ii.</w:t>
      </w:r>
      <w:r w:rsidR="009F66CE" w:rsidRPr="007F3E67">
        <w:rPr>
          <w:lang w:val="fr-FR"/>
        </w:rPr>
        <w:t>  </w:t>
      </w:r>
      <w:r w:rsidRPr="007F3E67">
        <w:rPr>
          <w:lang w:val="fr-FR"/>
        </w:rPr>
        <w:t>Appréciation de la Cour</w:t>
      </w:r>
    </w:p>
    <w:p w:rsidR="00B732FB" w:rsidRPr="007F3E67" w:rsidRDefault="00B732FB" w:rsidP="007F3E67">
      <w:pPr>
        <w:pStyle w:val="ECHRPara"/>
        <w:rPr>
          <w:lang w:val="fr-FR" w:eastAsia="fr-FR"/>
        </w:rPr>
      </w:pPr>
      <w:r w:rsidRPr="007F3E67">
        <w:rPr>
          <w:lang w:val="fr-FR" w:eastAsia="fr-FR"/>
        </w:rPr>
        <w:fldChar w:fldCharType="begin"/>
      </w:r>
      <w:r w:rsidRPr="007F3E67">
        <w:rPr>
          <w:lang w:val="fr-FR" w:eastAsia="fr-FR"/>
        </w:rPr>
        <w:instrText xml:space="preserve"> SEQ level0 \*arabic </w:instrText>
      </w:r>
      <w:r w:rsidRPr="007F3E67">
        <w:rPr>
          <w:lang w:val="fr-FR" w:eastAsia="fr-FR"/>
        </w:rPr>
        <w:fldChar w:fldCharType="separate"/>
      </w:r>
      <w:r w:rsidR="007F3E67" w:rsidRPr="007F3E67">
        <w:rPr>
          <w:noProof/>
          <w:lang w:val="fr-FR" w:eastAsia="fr-FR"/>
        </w:rPr>
        <w:t>103</w:t>
      </w:r>
      <w:r w:rsidRPr="007F3E67">
        <w:rPr>
          <w:lang w:val="fr-FR" w:eastAsia="fr-FR"/>
        </w:rPr>
        <w:fldChar w:fldCharType="end"/>
      </w:r>
      <w:r w:rsidRPr="007F3E67">
        <w:rPr>
          <w:lang w:val="fr-FR" w:eastAsia="fr-FR"/>
        </w:rPr>
        <w:t>.  Aux termes de l</w:t>
      </w:r>
      <w:r w:rsidR="007F3E67" w:rsidRPr="007F3E67">
        <w:rPr>
          <w:lang w:val="fr-FR" w:eastAsia="fr-FR"/>
        </w:rPr>
        <w:t>’</w:t>
      </w:r>
      <w:r w:rsidRPr="007F3E67">
        <w:rPr>
          <w:lang w:val="fr-FR" w:eastAsia="fr-FR"/>
        </w:rPr>
        <w:t>article 35 § 1 de la Convention, la Cour ne peut être saisie qu</w:t>
      </w:r>
      <w:r w:rsidR="007F3E67" w:rsidRPr="007F3E67">
        <w:rPr>
          <w:lang w:val="fr-FR" w:eastAsia="fr-FR"/>
        </w:rPr>
        <w:t>’</w:t>
      </w:r>
      <w:r w:rsidRPr="007F3E67">
        <w:rPr>
          <w:lang w:val="fr-FR" w:eastAsia="fr-FR"/>
        </w:rPr>
        <w:t>après l</w:t>
      </w:r>
      <w:r w:rsidR="007F3E67" w:rsidRPr="007F3E67">
        <w:rPr>
          <w:lang w:val="fr-FR" w:eastAsia="fr-FR"/>
        </w:rPr>
        <w:t>’</w:t>
      </w:r>
      <w:r w:rsidRPr="007F3E67">
        <w:rPr>
          <w:lang w:val="fr-FR" w:eastAsia="fr-FR"/>
        </w:rPr>
        <w:t>épuisement des voies de recours internes, tel qu</w:t>
      </w:r>
      <w:r w:rsidR="007F3E67" w:rsidRPr="007F3E67">
        <w:rPr>
          <w:lang w:val="fr-FR" w:eastAsia="fr-FR"/>
        </w:rPr>
        <w:t>’</w:t>
      </w:r>
      <w:r w:rsidRPr="007F3E67">
        <w:rPr>
          <w:lang w:val="fr-FR" w:eastAsia="fr-FR"/>
        </w:rPr>
        <w:t>il est entendu selon les principes de droit international généralement reconnus, et dans un délai de six mois à partir de la date de la décision interne définitive.</w:t>
      </w:r>
    </w:p>
    <w:p w:rsidR="00B732FB" w:rsidRPr="007F3E67" w:rsidRDefault="00B732FB" w:rsidP="007F3E67">
      <w:pPr>
        <w:pStyle w:val="ECHRPara"/>
        <w:rPr>
          <w:i/>
          <w:lang w:val="fr-FR"/>
        </w:rPr>
      </w:pPr>
      <w:r w:rsidRPr="007F3E67">
        <w:rPr>
          <w:lang w:val="fr-FR"/>
        </w:rPr>
        <w:fldChar w:fldCharType="begin"/>
      </w:r>
      <w:r w:rsidRPr="007F3E67">
        <w:rPr>
          <w:lang w:val="fr-FR"/>
        </w:rPr>
        <w:instrText xml:space="preserve"> SEQ level0 \*arabic </w:instrText>
      </w:r>
      <w:r w:rsidRPr="007F3E67">
        <w:rPr>
          <w:lang w:val="fr-FR"/>
        </w:rPr>
        <w:fldChar w:fldCharType="separate"/>
      </w:r>
      <w:r w:rsidR="007F3E67" w:rsidRPr="007F3E67">
        <w:rPr>
          <w:noProof/>
          <w:lang w:val="fr-FR"/>
        </w:rPr>
        <w:t>104</w:t>
      </w:r>
      <w:r w:rsidRPr="007F3E67">
        <w:rPr>
          <w:lang w:val="fr-FR"/>
        </w:rPr>
        <w:fldChar w:fldCharType="end"/>
      </w:r>
      <w:r w:rsidRPr="007F3E67">
        <w:rPr>
          <w:lang w:val="fr-FR"/>
        </w:rPr>
        <w:t xml:space="preserve">.  La Cour a déjà jugé, dans certaines affaires introduites avant la fin de la procédure pénale concernant des mauvais traitements </w:t>
      </w:r>
      <w:r w:rsidR="009F66CE" w:rsidRPr="007F3E67">
        <w:rPr>
          <w:lang w:val="fr-FR"/>
        </w:rPr>
        <w:t>au sens de</w:t>
      </w:r>
      <w:r w:rsidRPr="007F3E67">
        <w:rPr>
          <w:lang w:val="fr-FR"/>
        </w:rPr>
        <w:t xml:space="preserve"> l</w:t>
      </w:r>
      <w:r w:rsidR="007F3E67" w:rsidRPr="007F3E67">
        <w:rPr>
          <w:lang w:val="fr-FR"/>
        </w:rPr>
        <w:t>’</w:t>
      </w:r>
      <w:r w:rsidRPr="007F3E67">
        <w:rPr>
          <w:lang w:val="fr-FR"/>
        </w:rPr>
        <w:t>article 3</w:t>
      </w:r>
      <w:r w:rsidR="009F66CE" w:rsidRPr="007F3E67">
        <w:rPr>
          <w:lang w:val="fr-FR"/>
        </w:rPr>
        <w:t xml:space="preserve"> de la Convention</w:t>
      </w:r>
      <w:r w:rsidRPr="007F3E67">
        <w:rPr>
          <w:lang w:val="fr-FR"/>
        </w:rPr>
        <w:t>, que l</w:t>
      </w:r>
      <w:r w:rsidR="007F3E67" w:rsidRPr="007F3E67">
        <w:rPr>
          <w:lang w:val="fr-FR"/>
        </w:rPr>
        <w:t>’</w:t>
      </w:r>
      <w:r w:rsidRPr="007F3E67">
        <w:rPr>
          <w:lang w:val="fr-FR"/>
        </w:rPr>
        <w:t>exception du gouvernement défendeur tirée du caractère prématuré de la requête avait perdu sa raison d</w:t>
      </w:r>
      <w:r w:rsidR="007F3E67" w:rsidRPr="007F3E67">
        <w:rPr>
          <w:lang w:val="fr-FR"/>
        </w:rPr>
        <w:t>’</w:t>
      </w:r>
      <w:r w:rsidRPr="007F3E67">
        <w:rPr>
          <w:lang w:val="fr-FR"/>
        </w:rPr>
        <w:t>être une fois la procédure pénale en question achevée (</w:t>
      </w:r>
      <w:r w:rsidRPr="007F3E67">
        <w:rPr>
          <w:i/>
          <w:lang w:val="fr-FR"/>
        </w:rPr>
        <w:t>Kopylov</w:t>
      </w:r>
      <w:r w:rsidR="00CA6B50" w:rsidRPr="007F3E67">
        <w:rPr>
          <w:lang w:val="fr-FR"/>
        </w:rPr>
        <w:t>, précité,</w:t>
      </w:r>
      <w:r w:rsidRPr="007F3E67">
        <w:rPr>
          <w:lang w:val="fr-FR"/>
        </w:rPr>
        <w:t xml:space="preserve"> </w:t>
      </w:r>
      <w:r w:rsidRPr="007F3E67">
        <w:rPr>
          <w:snapToGrid w:val="0"/>
          <w:szCs w:val="24"/>
          <w:lang w:val="fr-FR"/>
        </w:rPr>
        <w:t xml:space="preserve">§ 119, renvoyant à </w:t>
      </w:r>
      <w:r w:rsidRPr="007F3E67">
        <w:rPr>
          <w:i/>
          <w:lang w:val="fr-FR"/>
        </w:rPr>
        <w:t>Samo</w:t>
      </w:r>
      <w:r w:rsidR="00DD3007" w:rsidRPr="007F3E67">
        <w:rPr>
          <w:i/>
          <w:lang w:val="fr-FR"/>
        </w:rPr>
        <w:t>ï</w:t>
      </w:r>
      <w:r w:rsidRPr="007F3E67">
        <w:rPr>
          <w:i/>
          <w:lang w:val="fr-FR"/>
        </w:rPr>
        <w:t>lov c. Russie</w:t>
      </w:r>
      <w:r w:rsidRPr="007F3E67">
        <w:rPr>
          <w:lang w:val="fr-FR"/>
        </w:rPr>
        <w:t>, n</w:t>
      </w:r>
      <w:r w:rsidRPr="007F3E67">
        <w:rPr>
          <w:vertAlign w:val="superscript"/>
          <w:lang w:val="fr-FR"/>
        </w:rPr>
        <w:t>o</w:t>
      </w:r>
      <w:r w:rsidRPr="007F3E67">
        <w:rPr>
          <w:lang w:val="fr-FR"/>
        </w:rPr>
        <w:t xml:space="preserve"> 64398/01, § 39, 2 octobre 2008</w:t>
      </w:r>
      <w:r w:rsidR="00CF20AD" w:rsidRPr="007F3E67">
        <w:rPr>
          <w:lang w:val="fr-FR"/>
        </w:rPr>
        <w:t>,</w:t>
      </w:r>
      <w:r w:rsidRPr="007F3E67">
        <w:rPr>
          <w:lang w:val="fr-FR"/>
        </w:rPr>
        <w:t xml:space="preserve"> et </w:t>
      </w:r>
      <w:r w:rsidR="002731D8" w:rsidRPr="007F3E67">
        <w:rPr>
          <w:i/>
          <w:lang w:val="fr-FR"/>
        </w:rPr>
        <w:t>Cestaro</w:t>
      </w:r>
      <w:r w:rsidRPr="007F3E67">
        <w:rPr>
          <w:snapToGrid w:val="0"/>
          <w:lang w:val="fr-FR"/>
        </w:rPr>
        <w:t>,</w:t>
      </w:r>
      <w:r w:rsidR="002731D8" w:rsidRPr="007F3E67">
        <w:rPr>
          <w:snapToGrid w:val="0"/>
          <w:lang w:val="fr-FR"/>
        </w:rPr>
        <w:t xml:space="preserve"> précité,</w:t>
      </w:r>
      <w:r w:rsidRPr="007F3E67">
        <w:rPr>
          <w:snapToGrid w:val="0"/>
          <w:lang w:val="fr-FR"/>
        </w:rPr>
        <w:t xml:space="preserve"> </w:t>
      </w:r>
      <w:r w:rsidR="00CA6B50" w:rsidRPr="007F3E67">
        <w:rPr>
          <w:lang w:val="fr-FR"/>
        </w:rPr>
        <w:t>§ 145</w:t>
      </w:r>
      <w:r w:rsidRPr="007F3E67">
        <w:rPr>
          <w:snapToGrid w:val="0"/>
          <w:lang w:val="fr-FR"/>
        </w:rPr>
        <w:t>)</w:t>
      </w:r>
      <w:r w:rsidRPr="007F3E67">
        <w:rPr>
          <w:lang w:val="fr-FR"/>
        </w:rPr>
        <w:t>.</w:t>
      </w:r>
    </w:p>
    <w:p w:rsidR="00B732FB" w:rsidRPr="007F3E67" w:rsidRDefault="00C56C75" w:rsidP="007F3E67">
      <w:pPr>
        <w:pStyle w:val="ECHRPara"/>
        <w:rPr>
          <w:snapToGrid w:val="0"/>
          <w:lang w:val="fr-FR"/>
        </w:rPr>
      </w:pPr>
      <w:r w:rsidRPr="007F3E67">
        <w:rPr>
          <w:lang w:val="fr-FR"/>
        </w:rPr>
        <w:fldChar w:fldCharType="begin"/>
      </w:r>
      <w:r w:rsidRPr="007F3E67">
        <w:rPr>
          <w:lang w:val="fr-FR"/>
        </w:rPr>
        <w:instrText xml:space="preserve"> SEQ level0 \*arabic </w:instrText>
      </w:r>
      <w:r w:rsidRPr="007F3E67">
        <w:rPr>
          <w:lang w:val="fr-FR"/>
        </w:rPr>
        <w:fldChar w:fldCharType="separate"/>
      </w:r>
      <w:r w:rsidR="007F3E67" w:rsidRPr="007F3E67">
        <w:rPr>
          <w:noProof/>
          <w:lang w:val="fr-FR"/>
        </w:rPr>
        <w:t>105</w:t>
      </w:r>
      <w:r w:rsidRPr="007F3E67">
        <w:rPr>
          <w:lang w:val="fr-FR"/>
        </w:rPr>
        <w:fldChar w:fldCharType="end"/>
      </w:r>
      <w:r w:rsidRPr="007F3E67">
        <w:rPr>
          <w:lang w:val="fr-FR"/>
        </w:rPr>
        <w:t>.  </w:t>
      </w:r>
      <w:r w:rsidR="00B732FB" w:rsidRPr="007F3E67">
        <w:rPr>
          <w:lang w:val="fr-FR"/>
        </w:rPr>
        <w:t>En outre, si, en principe, le requérant a l</w:t>
      </w:r>
      <w:r w:rsidR="007F3E67" w:rsidRPr="007F3E67">
        <w:rPr>
          <w:lang w:val="fr-FR"/>
        </w:rPr>
        <w:t>’</w:t>
      </w:r>
      <w:r w:rsidR="00B732FB" w:rsidRPr="007F3E67">
        <w:rPr>
          <w:lang w:val="fr-FR"/>
        </w:rPr>
        <w:t xml:space="preserve">obligation de tenter loyalement divers recours internes avant de saisir la Cour et si le respect de </w:t>
      </w:r>
      <w:r w:rsidR="00B732FB" w:rsidRPr="007F3E67">
        <w:rPr>
          <w:lang w:val="fr-FR"/>
        </w:rPr>
        <w:lastRenderedPageBreak/>
        <w:t>cette obligation</w:t>
      </w:r>
      <w:r w:rsidR="00B732FB" w:rsidRPr="007F3E67">
        <w:rPr>
          <w:sz w:val="23"/>
          <w:szCs w:val="23"/>
          <w:lang w:val="fr-FR"/>
        </w:rPr>
        <w:t xml:space="preserve"> s</w:t>
      </w:r>
      <w:r w:rsidR="007F3E67" w:rsidRPr="007F3E67">
        <w:rPr>
          <w:sz w:val="23"/>
          <w:szCs w:val="23"/>
          <w:lang w:val="fr-FR"/>
        </w:rPr>
        <w:t>’</w:t>
      </w:r>
      <w:r w:rsidR="00B732FB" w:rsidRPr="007F3E67">
        <w:rPr>
          <w:sz w:val="23"/>
          <w:szCs w:val="23"/>
          <w:lang w:val="fr-FR"/>
        </w:rPr>
        <w:t>apprécie à la date d</w:t>
      </w:r>
      <w:r w:rsidR="007F3E67" w:rsidRPr="007F3E67">
        <w:rPr>
          <w:sz w:val="23"/>
          <w:szCs w:val="23"/>
          <w:lang w:val="fr-FR"/>
        </w:rPr>
        <w:t>’</w:t>
      </w:r>
      <w:r w:rsidR="00B732FB" w:rsidRPr="007F3E67">
        <w:rPr>
          <w:sz w:val="23"/>
          <w:szCs w:val="23"/>
          <w:lang w:val="fr-FR"/>
        </w:rPr>
        <w:t>introduction de la requête (</w:t>
      </w:r>
      <w:r w:rsidR="00B732FB" w:rsidRPr="007F3E67">
        <w:rPr>
          <w:i/>
          <w:lang w:val="fr-FR"/>
        </w:rPr>
        <w:t>Baumann c. France</w:t>
      </w:r>
      <w:r w:rsidR="00B732FB" w:rsidRPr="007F3E67">
        <w:rPr>
          <w:lang w:val="fr-FR"/>
        </w:rPr>
        <w:t>, n</w:t>
      </w:r>
      <w:r w:rsidR="00B732FB" w:rsidRPr="007F3E67">
        <w:rPr>
          <w:vertAlign w:val="superscript"/>
          <w:lang w:val="fr-FR"/>
        </w:rPr>
        <w:t>o</w:t>
      </w:r>
      <w:r w:rsidR="00B732FB" w:rsidRPr="007F3E67">
        <w:rPr>
          <w:lang w:val="fr-FR"/>
        </w:rPr>
        <w:t xml:space="preserve"> 33592/96, § 47, CEDH 2001</w:t>
      </w:r>
      <w:r w:rsidR="00B732FB" w:rsidRPr="007F3E67">
        <w:rPr>
          <w:lang w:val="fr-FR"/>
        </w:rPr>
        <w:noBreakHyphen/>
        <w:t>V</w:t>
      </w:r>
      <w:r w:rsidR="00DD3007" w:rsidRPr="007F3E67">
        <w:rPr>
          <w:lang w:val="fr-FR"/>
        </w:rPr>
        <w:t xml:space="preserve"> (extraits)</w:t>
      </w:r>
      <w:r w:rsidR="00B732FB" w:rsidRPr="007F3E67">
        <w:rPr>
          <w:lang w:val="fr-FR"/>
        </w:rPr>
        <w:t>), la Cour tolère que le dernier échelon de ces recours soit atteint peu après le dépôt de la requête, mais avant qu</w:t>
      </w:r>
      <w:r w:rsidR="007F3E67" w:rsidRPr="007F3E67">
        <w:rPr>
          <w:lang w:val="fr-FR"/>
        </w:rPr>
        <w:t>’</w:t>
      </w:r>
      <w:r w:rsidR="00B732FB" w:rsidRPr="007F3E67">
        <w:rPr>
          <w:lang w:val="fr-FR"/>
        </w:rPr>
        <w:t>elle ne soit appelée à se prononcer sur la recevabilité de celle</w:t>
      </w:r>
      <w:r w:rsidR="009D7CBD" w:rsidRPr="007F3E67">
        <w:rPr>
          <w:lang w:val="fr-FR"/>
        </w:rPr>
        <w:noBreakHyphen/>
      </w:r>
      <w:r w:rsidR="00B732FB" w:rsidRPr="007F3E67">
        <w:rPr>
          <w:lang w:val="fr-FR"/>
        </w:rPr>
        <w:t>ci (</w:t>
      </w:r>
      <w:r w:rsidR="00B732FB" w:rsidRPr="007F3E67">
        <w:rPr>
          <w:i/>
          <w:lang w:val="fr-FR"/>
        </w:rPr>
        <w:t>Karoussiotis c. Portugal</w:t>
      </w:r>
      <w:r w:rsidR="00B732FB" w:rsidRPr="007F3E67">
        <w:rPr>
          <w:lang w:val="fr-FR"/>
        </w:rPr>
        <w:t>, n</w:t>
      </w:r>
      <w:r w:rsidR="00B732FB" w:rsidRPr="007F3E67">
        <w:rPr>
          <w:vertAlign w:val="superscript"/>
          <w:lang w:val="fr-FR"/>
        </w:rPr>
        <w:t>o</w:t>
      </w:r>
      <w:r w:rsidR="00B732FB" w:rsidRPr="007F3E67">
        <w:rPr>
          <w:lang w:val="fr-FR"/>
        </w:rPr>
        <w:t> 23205/08, §§ 57 et 87-92, CEDH 2011</w:t>
      </w:r>
      <w:r w:rsidR="00DD3007" w:rsidRPr="007F3E67">
        <w:rPr>
          <w:lang w:val="fr-FR"/>
        </w:rPr>
        <w:t xml:space="preserve"> (extraits)</w:t>
      </w:r>
      <w:r w:rsidR="00B732FB" w:rsidRPr="007F3E67">
        <w:rPr>
          <w:lang w:val="fr-FR"/>
        </w:rPr>
        <w:t xml:space="preserve">, </w:t>
      </w:r>
      <w:r w:rsidR="00B732FB" w:rsidRPr="007F3E67">
        <w:rPr>
          <w:i/>
          <w:lang w:val="fr-FR"/>
        </w:rPr>
        <w:t>Rafaa c. France</w:t>
      </w:r>
      <w:r w:rsidR="00B732FB" w:rsidRPr="007F3E67">
        <w:rPr>
          <w:lang w:val="fr-FR"/>
        </w:rPr>
        <w:t>, n</w:t>
      </w:r>
      <w:r w:rsidR="00B732FB" w:rsidRPr="007F3E67">
        <w:rPr>
          <w:vertAlign w:val="superscript"/>
          <w:lang w:val="fr-FR"/>
        </w:rPr>
        <w:t>o</w:t>
      </w:r>
      <w:r w:rsidR="00B732FB" w:rsidRPr="007F3E67">
        <w:rPr>
          <w:lang w:val="fr-FR"/>
        </w:rPr>
        <w:t xml:space="preserve"> 25393/10</w:t>
      </w:r>
      <w:r w:rsidR="00B732FB" w:rsidRPr="007F3E67">
        <w:rPr>
          <w:snapToGrid w:val="0"/>
          <w:lang w:val="fr-FR"/>
        </w:rPr>
        <w:t>, § 33, 30 mai 2013</w:t>
      </w:r>
      <w:r w:rsidR="00CF20AD" w:rsidRPr="007F3E67">
        <w:rPr>
          <w:snapToGrid w:val="0"/>
          <w:lang w:val="fr-FR"/>
        </w:rPr>
        <w:t>,</w:t>
      </w:r>
      <w:r w:rsidR="00B732FB" w:rsidRPr="007F3E67">
        <w:rPr>
          <w:snapToGrid w:val="0"/>
          <w:lang w:val="fr-FR"/>
        </w:rPr>
        <w:t xml:space="preserve"> et </w:t>
      </w:r>
      <w:r w:rsidR="00B732FB" w:rsidRPr="007F3E67">
        <w:rPr>
          <w:i/>
          <w:lang w:val="fr-FR"/>
        </w:rPr>
        <w:t>Cestaro</w:t>
      </w:r>
      <w:r w:rsidR="00B732FB" w:rsidRPr="007F3E67">
        <w:rPr>
          <w:snapToGrid w:val="0"/>
          <w:lang w:val="fr-FR"/>
        </w:rPr>
        <w:t>, précité</w:t>
      </w:r>
      <w:r w:rsidR="00B732FB" w:rsidRPr="007F3E67">
        <w:rPr>
          <w:snapToGrid w:val="0"/>
          <w:lang w:val="lt-LT"/>
        </w:rPr>
        <w:t xml:space="preserve">, </w:t>
      </w:r>
      <w:r w:rsidR="00B732FB" w:rsidRPr="007F3E67">
        <w:rPr>
          <w:rFonts w:cstheme="minorHAnsi"/>
          <w:lang w:val="fr-FR"/>
        </w:rPr>
        <w:t xml:space="preserve">§§ 146 et </w:t>
      </w:r>
      <w:r w:rsidR="00B732FB" w:rsidRPr="007F3E67">
        <w:rPr>
          <w:lang w:val="fr-FR"/>
        </w:rPr>
        <w:t>205-208</w:t>
      </w:r>
      <w:r w:rsidR="00B732FB" w:rsidRPr="007F3E67">
        <w:rPr>
          <w:snapToGrid w:val="0"/>
          <w:lang w:val="fr-FR"/>
        </w:rPr>
        <w:t xml:space="preserve"> </w:t>
      </w:r>
      <w:r w:rsidR="00B732FB" w:rsidRPr="007F3E67">
        <w:rPr>
          <w:lang w:val="fr-FR"/>
        </w:rPr>
        <w:t xml:space="preserve">et les références </w:t>
      </w:r>
      <w:r w:rsidR="00CF20AD" w:rsidRPr="007F3E67">
        <w:rPr>
          <w:lang w:val="fr-FR"/>
        </w:rPr>
        <w:t xml:space="preserve">qui </w:t>
      </w:r>
      <w:r w:rsidR="00B732FB" w:rsidRPr="007F3E67">
        <w:rPr>
          <w:lang w:val="fr-FR"/>
        </w:rPr>
        <w:t xml:space="preserve">y </w:t>
      </w:r>
      <w:r w:rsidR="00CF20AD" w:rsidRPr="007F3E67">
        <w:rPr>
          <w:lang w:val="fr-FR"/>
        </w:rPr>
        <w:t xml:space="preserve">sont </w:t>
      </w:r>
      <w:r w:rsidR="00B732FB" w:rsidRPr="007F3E67">
        <w:rPr>
          <w:lang w:val="fr-FR"/>
        </w:rPr>
        <w:t>mentionnées).</w:t>
      </w:r>
    </w:p>
    <w:p w:rsidR="006D02E3" w:rsidRPr="007F3E67" w:rsidRDefault="006D02E3" w:rsidP="007F3E67">
      <w:pPr>
        <w:pStyle w:val="ECHRPara"/>
        <w:rPr>
          <w:lang w:val="fr-FR"/>
        </w:rPr>
      </w:pPr>
      <w:r w:rsidRPr="007F3E67">
        <w:rPr>
          <w:snapToGrid w:val="0"/>
          <w:lang w:val="pt-BR"/>
        </w:rPr>
        <w:fldChar w:fldCharType="begin"/>
      </w:r>
      <w:r w:rsidRPr="007F3E67">
        <w:rPr>
          <w:snapToGrid w:val="0"/>
          <w:lang w:val="pt-BR"/>
        </w:rPr>
        <w:instrText xml:space="preserve"> SEQ level0 \*arabic </w:instrText>
      </w:r>
      <w:r w:rsidRPr="007F3E67">
        <w:rPr>
          <w:snapToGrid w:val="0"/>
          <w:lang w:val="pt-BR"/>
        </w:rPr>
        <w:fldChar w:fldCharType="separate"/>
      </w:r>
      <w:r w:rsidR="007F3E67" w:rsidRPr="007F3E67">
        <w:rPr>
          <w:noProof/>
          <w:snapToGrid w:val="0"/>
          <w:lang w:val="pt-BR"/>
        </w:rPr>
        <w:t>106</w:t>
      </w:r>
      <w:r w:rsidRPr="007F3E67">
        <w:rPr>
          <w:snapToGrid w:val="0"/>
          <w:lang w:val="pt-BR"/>
        </w:rPr>
        <w:fldChar w:fldCharType="end"/>
      </w:r>
      <w:r w:rsidRPr="007F3E67">
        <w:rPr>
          <w:snapToGrid w:val="0"/>
          <w:lang w:val="pt-BR"/>
        </w:rPr>
        <w:t>.  En l</w:t>
      </w:r>
      <w:r w:rsidR="007F3E67" w:rsidRPr="007F3E67">
        <w:rPr>
          <w:snapToGrid w:val="0"/>
          <w:lang w:val="pt-BR"/>
        </w:rPr>
        <w:t>’</w:t>
      </w:r>
      <w:r w:rsidRPr="007F3E67">
        <w:rPr>
          <w:snapToGrid w:val="0"/>
          <w:lang w:val="pt-BR"/>
        </w:rPr>
        <w:t xml:space="preserve">espèce, la Cour </w:t>
      </w:r>
      <w:r w:rsidR="00177E5D" w:rsidRPr="007F3E67">
        <w:rPr>
          <w:snapToGrid w:val="0"/>
          <w:lang w:val="pt-BR"/>
        </w:rPr>
        <w:t xml:space="preserve">rappelle </w:t>
      </w:r>
      <w:r w:rsidRPr="007F3E67">
        <w:rPr>
          <w:snapToGrid w:val="0"/>
          <w:lang w:val="pt-BR"/>
        </w:rPr>
        <w:t>que le</w:t>
      </w:r>
      <w:r w:rsidR="00177E5D" w:rsidRPr="007F3E67">
        <w:rPr>
          <w:snapToGrid w:val="0"/>
          <w:lang w:val="pt-BR"/>
        </w:rPr>
        <w:t xml:space="preserve">s </w:t>
      </w:r>
      <w:r w:rsidR="004D35BD" w:rsidRPr="007F3E67">
        <w:rPr>
          <w:snapToGrid w:val="0"/>
          <w:lang w:val="pt-BR"/>
        </w:rPr>
        <w:t>requérants all</w:t>
      </w:r>
      <w:r w:rsidR="00CC5CA5" w:rsidRPr="007F3E67">
        <w:rPr>
          <w:snapToGrid w:val="0"/>
          <w:lang w:val="pt-BR"/>
        </w:rPr>
        <w:t>è</w:t>
      </w:r>
      <w:r w:rsidR="004D35BD" w:rsidRPr="007F3E67">
        <w:rPr>
          <w:snapToGrid w:val="0"/>
          <w:lang w:val="pt-BR"/>
        </w:rPr>
        <w:t>guent avoir été victimes d</w:t>
      </w:r>
      <w:r w:rsidR="007F3E67" w:rsidRPr="007F3E67">
        <w:rPr>
          <w:snapToGrid w:val="0"/>
          <w:lang w:val="pt-BR"/>
        </w:rPr>
        <w:t>’</w:t>
      </w:r>
      <w:r w:rsidR="004D35BD" w:rsidRPr="007F3E67">
        <w:rPr>
          <w:snapToGrid w:val="0"/>
          <w:lang w:val="pt-BR"/>
        </w:rPr>
        <w:t>actes de torture</w:t>
      </w:r>
      <w:r w:rsidR="006C383B" w:rsidRPr="007F3E67">
        <w:rPr>
          <w:snapToGrid w:val="0"/>
          <w:lang w:val="pt-BR"/>
        </w:rPr>
        <w:t xml:space="preserve"> </w:t>
      </w:r>
      <w:r w:rsidR="00CF20AD" w:rsidRPr="007F3E67">
        <w:rPr>
          <w:snapToGrid w:val="0"/>
          <w:lang w:val="pt-BR"/>
        </w:rPr>
        <w:t xml:space="preserve">qui auraient été </w:t>
      </w:r>
      <w:r w:rsidR="006C383B" w:rsidRPr="007F3E67">
        <w:rPr>
          <w:snapToGrid w:val="0"/>
          <w:lang w:val="pt-BR"/>
        </w:rPr>
        <w:t>commis entre le 20 et le 2</w:t>
      </w:r>
      <w:r w:rsidR="006450D0" w:rsidRPr="007F3E67">
        <w:rPr>
          <w:snapToGrid w:val="0"/>
          <w:lang w:val="pt-BR"/>
        </w:rPr>
        <w:t>3</w:t>
      </w:r>
      <w:r w:rsidR="00CC5CA5" w:rsidRPr="007F3E67">
        <w:rPr>
          <w:snapToGrid w:val="0"/>
          <w:lang w:val="pt-BR"/>
        </w:rPr>
        <w:t> </w:t>
      </w:r>
      <w:r w:rsidR="006C383B" w:rsidRPr="007F3E67">
        <w:rPr>
          <w:snapToGrid w:val="0"/>
          <w:lang w:val="pt-BR"/>
        </w:rPr>
        <w:t>juillet</w:t>
      </w:r>
      <w:r w:rsidR="00CC5CA5" w:rsidRPr="007F3E67">
        <w:rPr>
          <w:snapToGrid w:val="0"/>
          <w:lang w:val="pt-BR"/>
        </w:rPr>
        <w:t> </w:t>
      </w:r>
      <w:r w:rsidR="006C383B" w:rsidRPr="007F3E67">
        <w:rPr>
          <w:snapToGrid w:val="0"/>
          <w:lang w:val="pt-BR"/>
        </w:rPr>
        <w:t>2001</w:t>
      </w:r>
      <w:r w:rsidR="004D35BD" w:rsidRPr="007F3E67">
        <w:rPr>
          <w:snapToGrid w:val="0"/>
          <w:lang w:val="pt-BR"/>
        </w:rPr>
        <w:t xml:space="preserve"> </w:t>
      </w:r>
      <w:r w:rsidRPr="007F3E67">
        <w:rPr>
          <w:lang w:val="fr-FR"/>
        </w:rPr>
        <w:t>(paragraphes</w:t>
      </w:r>
      <w:r w:rsidR="007301AC" w:rsidRPr="007F3E67">
        <w:rPr>
          <w:lang w:val="fr-FR"/>
        </w:rPr>
        <w:t xml:space="preserve"> </w:t>
      </w:r>
      <w:r w:rsidR="007301AC" w:rsidRPr="007F3E67">
        <w:rPr>
          <w:lang w:val="fr-FR"/>
        </w:rPr>
        <w:fldChar w:fldCharType="begin"/>
      </w:r>
      <w:r w:rsidR="007301AC" w:rsidRPr="007F3E67">
        <w:rPr>
          <w:lang w:val="fr-FR"/>
        </w:rPr>
        <w:instrText xml:space="preserve"> REF Reconstruction_FAITS \h </w:instrText>
      </w:r>
      <w:r w:rsidR="007E235C" w:rsidRPr="007F3E67">
        <w:rPr>
          <w:lang w:val="fr-FR"/>
        </w:rPr>
        <w:instrText xml:space="preserve"> \* MERGEFORMAT </w:instrText>
      </w:r>
      <w:r w:rsidR="007301AC" w:rsidRPr="007F3E67">
        <w:rPr>
          <w:lang w:val="fr-FR"/>
        </w:rPr>
      </w:r>
      <w:r w:rsidR="007301AC" w:rsidRPr="007F3E67">
        <w:rPr>
          <w:lang w:val="fr-FR"/>
        </w:rPr>
        <w:fldChar w:fldCharType="separate"/>
      </w:r>
      <w:r w:rsidR="007F3E67" w:rsidRPr="007F3E67">
        <w:rPr>
          <w:noProof/>
          <w:lang w:val="fr-FR"/>
        </w:rPr>
        <w:t>18</w:t>
      </w:r>
      <w:r w:rsidR="007301AC" w:rsidRPr="007F3E67">
        <w:rPr>
          <w:lang w:val="fr-FR"/>
        </w:rPr>
        <w:fldChar w:fldCharType="end"/>
      </w:r>
      <w:r w:rsidR="007301AC" w:rsidRPr="007F3E67">
        <w:rPr>
          <w:lang w:val="fr-FR"/>
        </w:rPr>
        <w:t>-</w:t>
      </w:r>
      <w:r w:rsidR="007301AC" w:rsidRPr="007F3E67">
        <w:rPr>
          <w:lang w:val="fr-FR"/>
        </w:rPr>
        <w:fldChar w:fldCharType="begin"/>
      </w:r>
      <w:r w:rsidR="007301AC" w:rsidRPr="007F3E67">
        <w:rPr>
          <w:lang w:val="fr-FR"/>
        </w:rPr>
        <w:instrText xml:space="preserve"> REF Reconstruction_FAITS_FIN \h </w:instrText>
      </w:r>
      <w:r w:rsidR="007E235C" w:rsidRPr="007F3E67">
        <w:rPr>
          <w:lang w:val="fr-FR"/>
        </w:rPr>
        <w:instrText xml:space="preserve"> \* MERGEFORMAT </w:instrText>
      </w:r>
      <w:r w:rsidR="007301AC" w:rsidRPr="007F3E67">
        <w:rPr>
          <w:lang w:val="fr-FR"/>
        </w:rPr>
      </w:r>
      <w:r w:rsidR="007301AC" w:rsidRPr="007F3E67">
        <w:rPr>
          <w:lang w:val="fr-FR"/>
        </w:rPr>
        <w:fldChar w:fldCharType="separate"/>
      </w:r>
      <w:r w:rsidR="007F3E67" w:rsidRPr="007F3E67">
        <w:rPr>
          <w:noProof/>
          <w:lang w:val="fr-FR"/>
        </w:rPr>
        <w:t>50</w:t>
      </w:r>
      <w:r w:rsidR="007301AC" w:rsidRPr="007F3E67">
        <w:rPr>
          <w:lang w:val="fr-FR"/>
        </w:rPr>
        <w:fldChar w:fldCharType="end"/>
      </w:r>
      <w:r w:rsidRPr="007F3E67">
        <w:rPr>
          <w:lang w:val="fr-FR"/>
        </w:rPr>
        <w:t xml:space="preserve"> ci-dessus).</w:t>
      </w:r>
    </w:p>
    <w:p w:rsidR="00301040" w:rsidRPr="007F3E67" w:rsidRDefault="00C56C75" w:rsidP="007F3E67">
      <w:pPr>
        <w:pStyle w:val="ECHRPara"/>
        <w:rPr>
          <w:lang w:val="fr-FR"/>
        </w:rPr>
      </w:pPr>
      <w:r w:rsidRPr="007F3E67">
        <w:rPr>
          <w:lang w:val="fr-FR"/>
        </w:rPr>
        <w:fldChar w:fldCharType="begin"/>
      </w:r>
      <w:r w:rsidRPr="007F3E67">
        <w:rPr>
          <w:lang w:val="fr-FR"/>
        </w:rPr>
        <w:instrText xml:space="preserve"> SEQ level0 \*arabic </w:instrText>
      </w:r>
      <w:r w:rsidRPr="007F3E67">
        <w:rPr>
          <w:lang w:val="fr-FR"/>
        </w:rPr>
        <w:fldChar w:fldCharType="separate"/>
      </w:r>
      <w:r w:rsidR="007F3E67" w:rsidRPr="007F3E67">
        <w:rPr>
          <w:noProof/>
          <w:lang w:val="fr-FR"/>
        </w:rPr>
        <w:t>107</w:t>
      </w:r>
      <w:r w:rsidRPr="007F3E67">
        <w:rPr>
          <w:lang w:val="fr-FR"/>
        </w:rPr>
        <w:fldChar w:fldCharType="end"/>
      </w:r>
      <w:r w:rsidRPr="007F3E67">
        <w:rPr>
          <w:lang w:val="fr-FR"/>
        </w:rPr>
        <w:t>.  </w:t>
      </w:r>
      <w:r w:rsidR="006D02E3" w:rsidRPr="007F3E67">
        <w:rPr>
          <w:lang w:val="fr-FR"/>
        </w:rPr>
        <w:t>Elle relève ensuite que la procédure pénale engagée contre les forces de l</w:t>
      </w:r>
      <w:r w:rsidR="007F3E67" w:rsidRPr="007F3E67">
        <w:rPr>
          <w:lang w:val="fr-FR"/>
        </w:rPr>
        <w:t>’</w:t>
      </w:r>
      <w:r w:rsidR="006D02E3" w:rsidRPr="007F3E67">
        <w:rPr>
          <w:lang w:val="fr-FR"/>
        </w:rPr>
        <w:t xml:space="preserve">ordre relativement aux événements survenus </w:t>
      </w:r>
      <w:r w:rsidR="00DD3007" w:rsidRPr="007F3E67">
        <w:rPr>
          <w:lang w:val="fr-FR"/>
        </w:rPr>
        <w:t>au sein</w:t>
      </w:r>
      <w:r w:rsidR="004D35BD" w:rsidRPr="007F3E67">
        <w:rPr>
          <w:lang w:val="fr-FR"/>
        </w:rPr>
        <w:t xml:space="preserve"> de la </w:t>
      </w:r>
      <w:r w:rsidR="00CC5CA5" w:rsidRPr="007F3E67">
        <w:rPr>
          <w:lang w:val="fr-FR"/>
        </w:rPr>
        <w:t>caserne de Bolzaneto</w:t>
      </w:r>
      <w:r w:rsidR="006D02E3" w:rsidRPr="007F3E67">
        <w:rPr>
          <w:lang w:val="fr-FR"/>
        </w:rPr>
        <w:t xml:space="preserve">, </w:t>
      </w:r>
      <w:r w:rsidR="00CC5CA5" w:rsidRPr="007F3E67">
        <w:rPr>
          <w:lang w:val="fr-FR"/>
        </w:rPr>
        <w:t xml:space="preserve">procédure </w:t>
      </w:r>
      <w:r w:rsidR="006D02E3" w:rsidRPr="007F3E67">
        <w:rPr>
          <w:lang w:val="fr-FR"/>
        </w:rPr>
        <w:t>dans laquelle le</w:t>
      </w:r>
      <w:r w:rsidR="007771C3" w:rsidRPr="007F3E67">
        <w:rPr>
          <w:lang w:val="fr-FR"/>
        </w:rPr>
        <w:t>s</w:t>
      </w:r>
      <w:r w:rsidR="006D02E3" w:rsidRPr="007F3E67">
        <w:rPr>
          <w:lang w:val="fr-FR"/>
        </w:rPr>
        <w:t xml:space="preserve"> requéran</w:t>
      </w:r>
      <w:r w:rsidR="007771C3" w:rsidRPr="007F3E67">
        <w:rPr>
          <w:lang w:val="fr-FR"/>
        </w:rPr>
        <w:t>ts</w:t>
      </w:r>
      <w:r w:rsidR="006D02E3" w:rsidRPr="007F3E67">
        <w:rPr>
          <w:lang w:val="fr-FR"/>
        </w:rPr>
        <w:t xml:space="preserve"> </w:t>
      </w:r>
      <w:r w:rsidR="007771C3" w:rsidRPr="007F3E67">
        <w:rPr>
          <w:lang w:val="fr-FR"/>
        </w:rPr>
        <w:t>se sont</w:t>
      </w:r>
      <w:r w:rsidR="006D02E3" w:rsidRPr="007F3E67">
        <w:rPr>
          <w:lang w:val="fr-FR"/>
        </w:rPr>
        <w:t xml:space="preserve"> constitué</w:t>
      </w:r>
      <w:r w:rsidR="007771C3" w:rsidRPr="007F3E67">
        <w:rPr>
          <w:lang w:val="fr-FR"/>
        </w:rPr>
        <w:t>s</w:t>
      </w:r>
      <w:r w:rsidR="006D02E3" w:rsidRPr="007F3E67">
        <w:rPr>
          <w:lang w:val="fr-FR"/>
        </w:rPr>
        <w:t xml:space="preserve"> partie</w:t>
      </w:r>
      <w:r w:rsidR="000321C2" w:rsidRPr="007F3E67">
        <w:rPr>
          <w:lang w:val="fr-FR"/>
        </w:rPr>
        <w:t>s</w:t>
      </w:r>
      <w:r w:rsidR="006D02E3" w:rsidRPr="007F3E67">
        <w:rPr>
          <w:lang w:val="fr-FR"/>
        </w:rPr>
        <w:t xml:space="preserve"> civile</w:t>
      </w:r>
      <w:r w:rsidR="000321C2" w:rsidRPr="007F3E67">
        <w:rPr>
          <w:lang w:val="fr-FR"/>
        </w:rPr>
        <w:t>s</w:t>
      </w:r>
      <w:r w:rsidR="006D02E3" w:rsidRPr="007F3E67">
        <w:rPr>
          <w:lang w:val="fr-FR"/>
        </w:rPr>
        <w:t xml:space="preserve"> </w:t>
      </w:r>
      <w:r w:rsidR="00B12BE9" w:rsidRPr="007F3E67">
        <w:rPr>
          <w:lang w:val="fr-FR"/>
        </w:rPr>
        <w:t>en</w:t>
      </w:r>
      <w:r w:rsidR="007771C3" w:rsidRPr="007F3E67">
        <w:rPr>
          <w:lang w:val="fr-FR"/>
        </w:rPr>
        <w:t xml:space="preserve"> janvier 2005</w:t>
      </w:r>
      <w:r w:rsidR="006C383B" w:rsidRPr="007F3E67">
        <w:rPr>
          <w:lang w:val="fr-FR"/>
        </w:rPr>
        <w:t xml:space="preserve"> (à l</w:t>
      </w:r>
      <w:r w:rsidR="007F3E67" w:rsidRPr="007F3E67">
        <w:rPr>
          <w:lang w:val="fr-FR"/>
        </w:rPr>
        <w:t>’</w:t>
      </w:r>
      <w:r w:rsidR="00B12BE9" w:rsidRPr="007F3E67">
        <w:rPr>
          <w:lang w:val="fr-FR"/>
        </w:rPr>
        <w:t>exception</w:t>
      </w:r>
      <w:r w:rsidR="006C383B" w:rsidRPr="007F3E67">
        <w:rPr>
          <w:lang w:val="fr-FR"/>
        </w:rPr>
        <w:t xml:space="preserve"> de</w:t>
      </w:r>
      <w:r w:rsidR="00B12BE9" w:rsidRPr="007F3E67">
        <w:rPr>
          <w:lang w:val="fr-FR"/>
        </w:rPr>
        <w:t xml:space="preserve"> M</w:t>
      </w:r>
      <w:r w:rsidR="00B12BE9" w:rsidRPr="007F3E67">
        <w:rPr>
          <w:vertAlign w:val="superscript"/>
          <w:lang w:val="fr-FR"/>
        </w:rPr>
        <w:t>me</w:t>
      </w:r>
      <w:r w:rsidR="00B12BE9" w:rsidRPr="007F3E67">
        <w:rPr>
          <w:lang w:val="fr-FR"/>
        </w:rPr>
        <w:t xml:space="preserve"> Kutschkau, </w:t>
      </w:r>
      <w:r w:rsidR="00CC5CA5" w:rsidRPr="007F3E67">
        <w:rPr>
          <w:lang w:val="fr-FR"/>
        </w:rPr>
        <w:t>qui s</w:t>
      </w:r>
      <w:r w:rsidR="007F3E67" w:rsidRPr="007F3E67">
        <w:rPr>
          <w:lang w:val="fr-FR"/>
        </w:rPr>
        <w:t>’</w:t>
      </w:r>
      <w:r w:rsidR="00CC5CA5" w:rsidRPr="007F3E67">
        <w:rPr>
          <w:lang w:val="fr-FR"/>
        </w:rPr>
        <w:t xml:space="preserve">est constituée partie civile </w:t>
      </w:r>
      <w:r w:rsidR="00B12BE9" w:rsidRPr="007F3E67">
        <w:rPr>
          <w:lang w:val="fr-FR"/>
        </w:rPr>
        <w:t>en février 2005,</w:t>
      </w:r>
      <w:r w:rsidR="00836F9C" w:rsidRPr="007F3E67">
        <w:rPr>
          <w:lang w:val="fr-FR"/>
        </w:rPr>
        <w:t xml:space="preserve"> et</w:t>
      </w:r>
      <w:r w:rsidR="006C383B" w:rsidRPr="007F3E67">
        <w:rPr>
          <w:lang w:val="fr-FR"/>
        </w:rPr>
        <w:t xml:space="preserve"> </w:t>
      </w:r>
      <w:r w:rsidR="00B12BE9" w:rsidRPr="007F3E67">
        <w:rPr>
          <w:lang w:val="fr-FR"/>
        </w:rPr>
        <w:t>de M. Galloway</w:t>
      </w:r>
      <w:r w:rsidR="00795A18" w:rsidRPr="007F3E67">
        <w:rPr>
          <w:lang w:val="fr-FR"/>
        </w:rPr>
        <w:t xml:space="preserve"> et M</w:t>
      </w:r>
      <w:r w:rsidR="00795A18" w:rsidRPr="007F3E67">
        <w:rPr>
          <w:vertAlign w:val="superscript"/>
          <w:lang w:val="fr-FR"/>
        </w:rPr>
        <w:t>me</w:t>
      </w:r>
      <w:r w:rsidR="00CC5CA5" w:rsidRPr="007F3E67">
        <w:rPr>
          <w:lang w:val="fr-FR"/>
        </w:rPr>
        <w:t> </w:t>
      </w:r>
      <w:r w:rsidR="00795A18" w:rsidRPr="007F3E67">
        <w:rPr>
          <w:lang w:val="fr-FR"/>
        </w:rPr>
        <w:t>Ender</w:t>
      </w:r>
      <w:r w:rsidR="00B12BE9" w:rsidRPr="007F3E67">
        <w:rPr>
          <w:lang w:val="fr-FR"/>
        </w:rPr>
        <w:t xml:space="preserve">, </w:t>
      </w:r>
      <w:r w:rsidR="00CC5CA5" w:rsidRPr="007F3E67">
        <w:rPr>
          <w:lang w:val="fr-FR"/>
        </w:rPr>
        <w:t>qui l</w:t>
      </w:r>
      <w:r w:rsidR="007F3E67" w:rsidRPr="007F3E67">
        <w:rPr>
          <w:lang w:val="fr-FR"/>
        </w:rPr>
        <w:t>’</w:t>
      </w:r>
      <w:r w:rsidR="00CC5CA5" w:rsidRPr="007F3E67">
        <w:rPr>
          <w:lang w:val="fr-FR"/>
        </w:rPr>
        <w:t xml:space="preserve">ont fait </w:t>
      </w:r>
      <w:r w:rsidR="00B12BE9" w:rsidRPr="007F3E67">
        <w:rPr>
          <w:lang w:val="fr-FR"/>
        </w:rPr>
        <w:t>en octobre 2005)</w:t>
      </w:r>
      <w:r w:rsidR="006D02E3" w:rsidRPr="007F3E67">
        <w:rPr>
          <w:lang w:val="fr-FR"/>
        </w:rPr>
        <w:t xml:space="preserve">, a abouti, en </w:t>
      </w:r>
      <w:r w:rsidR="00012487" w:rsidRPr="007F3E67">
        <w:rPr>
          <w:lang w:val="fr-FR"/>
        </w:rPr>
        <w:t>novembre</w:t>
      </w:r>
      <w:r w:rsidR="006D02E3" w:rsidRPr="007F3E67">
        <w:rPr>
          <w:lang w:val="fr-FR"/>
        </w:rPr>
        <w:t xml:space="preserve"> 200</w:t>
      </w:r>
      <w:r w:rsidR="00012487" w:rsidRPr="007F3E67">
        <w:rPr>
          <w:lang w:val="fr-FR"/>
        </w:rPr>
        <w:t>8</w:t>
      </w:r>
      <w:r w:rsidR="006D02E3" w:rsidRPr="007F3E67">
        <w:rPr>
          <w:lang w:val="fr-FR"/>
        </w:rPr>
        <w:t xml:space="preserve">, au dépôt du jugement de première instance (paragraphe </w:t>
      </w:r>
      <w:r w:rsidR="0065107D" w:rsidRPr="007F3E67">
        <w:rPr>
          <w:lang w:val="fr-FR"/>
        </w:rPr>
        <w:fldChar w:fldCharType="begin"/>
      </w:r>
      <w:r w:rsidR="0065107D" w:rsidRPr="007F3E67">
        <w:rPr>
          <w:lang w:val="fr-FR"/>
        </w:rPr>
        <w:instrText xml:space="preserve"> REF I_Instance_CONDAMNATION \h </w:instrText>
      </w:r>
      <w:r w:rsidR="007E235C" w:rsidRPr="007F3E67">
        <w:rPr>
          <w:lang w:val="fr-FR"/>
        </w:rPr>
        <w:instrText xml:space="preserve"> \* MERGEFORMAT </w:instrText>
      </w:r>
      <w:r w:rsidR="0065107D" w:rsidRPr="007F3E67">
        <w:rPr>
          <w:lang w:val="fr-FR"/>
        </w:rPr>
      </w:r>
      <w:r w:rsidR="0065107D" w:rsidRPr="007F3E67">
        <w:rPr>
          <w:lang w:val="fr-FR"/>
        </w:rPr>
        <w:fldChar w:fldCharType="separate"/>
      </w:r>
      <w:r w:rsidR="007F3E67" w:rsidRPr="007F3E67">
        <w:rPr>
          <w:noProof/>
          <w:szCs w:val="24"/>
          <w:lang w:val="fr-FR"/>
        </w:rPr>
        <w:t>52</w:t>
      </w:r>
      <w:r w:rsidR="0065107D" w:rsidRPr="007F3E67">
        <w:rPr>
          <w:lang w:val="fr-FR"/>
        </w:rPr>
        <w:fldChar w:fldCharType="end"/>
      </w:r>
      <w:r w:rsidR="006D02E3" w:rsidRPr="007F3E67">
        <w:rPr>
          <w:lang w:val="fr-FR"/>
        </w:rPr>
        <w:t xml:space="preserve"> ci-dessus) et, en </w:t>
      </w:r>
      <w:r w:rsidR="00012487" w:rsidRPr="007F3E67">
        <w:rPr>
          <w:lang w:val="fr-FR"/>
        </w:rPr>
        <w:t>avril 2011</w:t>
      </w:r>
      <w:r w:rsidR="006D02E3" w:rsidRPr="007F3E67">
        <w:rPr>
          <w:lang w:val="fr-FR"/>
        </w:rPr>
        <w:t>, au dépôt de l</w:t>
      </w:r>
      <w:r w:rsidR="007F3E67" w:rsidRPr="007F3E67">
        <w:rPr>
          <w:lang w:val="fr-FR"/>
        </w:rPr>
        <w:t>’</w:t>
      </w:r>
      <w:r w:rsidR="006D02E3" w:rsidRPr="007F3E67">
        <w:rPr>
          <w:lang w:val="fr-FR"/>
        </w:rPr>
        <w:t>arrêt d</w:t>
      </w:r>
      <w:r w:rsidR="007F3E67" w:rsidRPr="007F3E67">
        <w:rPr>
          <w:lang w:val="fr-FR"/>
        </w:rPr>
        <w:t>’</w:t>
      </w:r>
      <w:r w:rsidR="006D02E3" w:rsidRPr="007F3E67">
        <w:rPr>
          <w:lang w:val="fr-FR"/>
        </w:rPr>
        <w:t xml:space="preserve">appel (paragraphe </w:t>
      </w:r>
      <w:r w:rsidR="0065107D" w:rsidRPr="007F3E67">
        <w:rPr>
          <w:lang w:val="fr-FR"/>
        </w:rPr>
        <w:fldChar w:fldCharType="begin"/>
      </w:r>
      <w:r w:rsidR="0065107D" w:rsidRPr="007F3E67">
        <w:rPr>
          <w:lang w:val="fr-FR"/>
        </w:rPr>
        <w:instrText xml:space="preserve"> REF Cour_appel \h </w:instrText>
      </w:r>
      <w:r w:rsidR="007E235C" w:rsidRPr="007F3E67">
        <w:rPr>
          <w:lang w:val="fr-FR"/>
        </w:rPr>
        <w:instrText xml:space="preserve"> \* MERGEFORMAT </w:instrText>
      </w:r>
      <w:r w:rsidR="0065107D" w:rsidRPr="007F3E67">
        <w:rPr>
          <w:lang w:val="fr-FR"/>
        </w:rPr>
      </w:r>
      <w:r w:rsidR="0065107D" w:rsidRPr="007F3E67">
        <w:rPr>
          <w:lang w:val="fr-FR"/>
        </w:rPr>
        <w:fldChar w:fldCharType="separate"/>
      </w:r>
      <w:r w:rsidR="007F3E67" w:rsidRPr="007F3E67">
        <w:rPr>
          <w:noProof/>
          <w:lang w:val="fr-FR"/>
        </w:rPr>
        <w:t>57</w:t>
      </w:r>
      <w:r w:rsidR="0065107D" w:rsidRPr="007F3E67">
        <w:rPr>
          <w:lang w:val="fr-FR"/>
        </w:rPr>
        <w:fldChar w:fldCharType="end"/>
      </w:r>
      <w:r w:rsidR="006D02E3" w:rsidRPr="007F3E67">
        <w:rPr>
          <w:lang w:val="fr-FR"/>
        </w:rPr>
        <w:t xml:space="preserve"> ci-dessus).</w:t>
      </w:r>
      <w:r w:rsidR="00391B4A" w:rsidRPr="007F3E67">
        <w:rPr>
          <w:lang w:val="fr-FR"/>
        </w:rPr>
        <w:t xml:space="preserve"> </w:t>
      </w:r>
      <w:r w:rsidR="00CC5CA5" w:rsidRPr="007F3E67">
        <w:rPr>
          <w:lang w:val="fr-FR"/>
        </w:rPr>
        <w:t>Elle</w:t>
      </w:r>
      <w:r w:rsidR="00391B4A" w:rsidRPr="007F3E67">
        <w:rPr>
          <w:lang w:val="fr-FR"/>
        </w:rPr>
        <w:t xml:space="preserve"> estime que l</w:t>
      </w:r>
      <w:r w:rsidR="007F3E67" w:rsidRPr="007F3E67">
        <w:rPr>
          <w:lang w:val="fr-FR"/>
        </w:rPr>
        <w:t>’</w:t>
      </w:r>
      <w:r w:rsidR="00391B4A" w:rsidRPr="007F3E67">
        <w:rPr>
          <w:lang w:val="fr-FR"/>
        </w:rPr>
        <w:t>application de la prescription et de la remise de peine sont deux aspects qui pèsent sur l</w:t>
      </w:r>
      <w:r w:rsidR="007F3E67" w:rsidRPr="007F3E67">
        <w:rPr>
          <w:lang w:val="fr-FR"/>
        </w:rPr>
        <w:t>’</w:t>
      </w:r>
      <w:r w:rsidR="00391B4A" w:rsidRPr="007F3E67">
        <w:rPr>
          <w:lang w:val="fr-FR"/>
        </w:rPr>
        <w:t>appréciation de l</w:t>
      </w:r>
      <w:r w:rsidR="007F3E67" w:rsidRPr="007F3E67">
        <w:rPr>
          <w:lang w:val="fr-FR"/>
        </w:rPr>
        <w:t>’</w:t>
      </w:r>
      <w:r w:rsidR="00391B4A" w:rsidRPr="007F3E67">
        <w:rPr>
          <w:lang w:val="fr-FR"/>
        </w:rPr>
        <w:t>épuisement</w:t>
      </w:r>
      <w:r w:rsidR="00CC5CA5" w:rsidRPr="007F3E67">
        <w:rPr>
          <w:lang w:val="fr-FR"/>
        </w:rPr>
        <w:t xml:space="preserve"> des voies de recours internes.</w:t>
      </w:r>
    </w:p>
    <w:p w:rsidR="006D02E3" w:rsidRPr="007F3E67" w:rsidRDefault="006D02E3" w:rsidP="007F3E67">
      <w:pPr>
        <w:pStyle w:val="ECHRPara"/>
        <w:rPr>
          <w:lang w:val="fr-FR"/>
        </w:rPr>
      </w:pPr>
      <w:r w:rsidRPr="007F3E67">
        <w:rPr>
          <w:lang w:val="fr-FR"/>
        </w:rPr>
        <w:fldChar w:fldCharType="begin"/>
      </w:r>
      <w:r w:rsidRPr="007F3E67">
        <w:rPr>
          <w:lang w:val="fr-FR"/>
        </w:rPr>
        <w:instrText xml:space="preserve"> SEQ level0 \*arabic </w:instrText>
      </w:r>
      <w:r w:rsidRPr="007F3E67">
        <w:rPr>
          <w:lang w:val="fr-FR"/>
        </w:rPr>
        <w:fldChar w:fldCharType="separate"/>
      </w:r>
      <w:r w:rsidR="007F3E67" w:rsidRPr="007F3E67">
        <w:rPr>
          <w:noProof/>
          <w:lang w:val="fr-FR"/>
        </w:rPr>
        <w:t>108</w:t>
      </w:r>
      <w:r w:rsidRPr="007F3E67">
        <w:rPr>
          <w:lang w:val="fr-FR"/>
        </w:rPr>
        <w:fldChar w:fldCharType="end"/>
      </w:r>
      <w:r w:rsidRPr="007F3E67">
        <w:rPr>
          <w:lang w:val="fr-FR"/>
        </w:rPr>
        <w:t xml:space="preserve">.  Dans ces circonstances, </w:t>
      </w:r>
      <w:r w:rsidR="00012487" w:rsidRPr="007F3E67">
        <w:rPr>
          <w:lang w:val="fr-FR"/>
        </w:rPr>
        <w:t xml:space="preserve">en tenant compte en particulier des faits allégués, </w:t>
      </w:r>
      <w:r w:rsidRPr="007F3E67">
        <w:rPr>
          <w:lang w:val="fr-FR"/>
        </w:rPr>
        <w:t>la Cour ne saurait reprocher au</w:t>
      </w:r>
      <w:r w:rsidR="00012487" w:rsidRPr="007F3E67">
        <w:rPr>
          <w:lang w:val="fr-FR"/>
        </w:rPr>
        <w:t>x</w:t>
      </w:r>
      <w:r w:rsidRPr="007F3E67">
        <w:rPr>
          <w:lang w:val="fr-FR"/>
        </w:rPr>
        <w:t xml:space="preserve"> requérant</w:t>
      </w:r>
      <w:r w:rsidR="00012487" w:rsidRPr="007F3E67">
        <w:rPr>
          <w:lang w:val="fr-FR"/>
        </w:rPr>
        <w:t>s</w:t>
      </w:r>
      <w:r w:rsidRPr="007F3E67">
        <w:rPr>
          <w:lang w:val="fr-FR"/>
        </w:rPr>
        <w:t xml:space="preserve"> de lui avoir adressé </w:t>
      </w:r>
      <w:r w:rsidR="00012487" w:rsidRPr="007F3E67">
        <w:rPr>
          <w:lang w:val="fr-FR"/>
        </w:rPr>
        <w:t>leurs</w:t>
      </w:r>
      <w:r w:rsidRPr="007F3E67">
        <w:rPr>
          <w:lang w:val="fr-FR"/>
        </w:rPr>
        <w:t xml:space="preserve"> griefs portant sur la violation de l</w:t>
      </w:r>
      <w:r w:rsidR="007F3E67" w:rsidRPr="007F3E67">
        <w:rPr>
          <w:lang w:val="fr-FR"/>
        </w:rPr>
        <w:t>’</w:t>
      </w:r>
      <w:r w:rsidRPr="007F3E67">
        <w:rPr>
          <w:lang w:val="fr-FR"/>
        </w:rPr>
        <w:t xml:space="preserve">article 3 de la Convention en </w:t>
      </w:r>
      <w:r w:rsidR="00012487" w:rsidRPr="007F3E67">
        <w:rPr>
          <w:lang w:val="fr-FR"/>
        </w:rPr>
        <w:t>mai</w:t>
      </w:r>
      <w:r w:rsidR="00DD3007" w:rsidRPr="007F3E67">
        <w:rPr>
          <w:lang w:val="fr-FR"/>
        </w:rPr>
        <w:t> </w:t>
      </w:r>
      <w:r w:rsidR="00012487" w:rsidRPr="007F3E67">
        <w:rPr>
          <w:lang w:val="fr-FR"/>
        </w:rPr>
        <w:t>2009 et en septembre 2010</w:t>
      </w:r>
      <w:r w:rsidRPr="007F3E67">
        <w:rPr>
          <w:lang w:val="fr-FR"/>
        </w:rPr>
        <w:t xml:space="preserve">, </w:t>
      </w:r>
      <w:r w:rsidR="00CC5CA5" w:rsidRPr="007F3E67">
        <w:rPr>
          <w:lang w:val="fr-FR"/>
        </w:rPr>
        <w:t xml:space="preserve">soit </w:t>
      </w:r>
      <w:r w:rsidR="00836F9C" w:rsidRPr="007F3E67">
        <w:rPr>
          <w:lang w:val="fr-FR"/>
        </w:rPr>
        <w:t xml:space="preserve">respectivement </w:t>
      </w:r>
      <w:r w:rsidRPr="007F3E67">
        <w:rPr>
          <w:lang w:val="fr-FR"/>
        </w:rPr>
        <w:t xml:space="preserve">près de </w:t>
      </w:r>
      <w:r w:rsidR="00012487" w:rsidRPr="007F3E67">
        <w:rPr>
          <w:lang w:val="fr-FR"/>
        </w:rPr>
        <w:t xml:space="preserve">huit </w:t>
      </w:r>
      <w:r w:rsidR="00AB1B61" w:rsidRPr="007F3E67">
        <w:rPr>
          <w:lang w:val="fr-FR"/>
        </w:rPr>
        <w:t xml:space="preserve">ans </w:t>
      </w:r>
      <w:r w:rsidR="00012487" w:rsidRPr="007F3E67">
        <w:rPr>
          <w:lang w:val="fr-FR"/>
        </w:rPr>
        <w:t>et plus de neuf</w:t>
      </w:r>
      <w:r w:rsidRPr="007F3E67">
        <w:rPr>
          <w:lang w:val="fr-FR"/>
        </w:rPr>
        <w:t xml:space="preserve"> ans après les événements survenus </w:t>
      </w:r>
      <w:r w:rsidR="00CC5CA5" w:rsidRPr="007F3E67">
        <w:rPr>
          <w:lang w:val="fr-FR"/>
        </w:rPr>
        <w:t>au sein</w:t>
      </w:r>
      <w:r w:rsidR="00012487" w:rsidRPr="007F3E67">
        <w:rPr>
          <w:lang w:val="fr-FR"/>
        </w:rPr>
        <w:t xml:space="preserve"> de la caserne de Bolzaneto</w:t>
      </w:r>
      <w:r w:rsidRPr="007F3E67">
        <w:rPr>
          <w:lang w:val="fr-FR"/>
        </w:rPr>
        <w:t>, sans avoir attendu l</w:t>
      </w:r>
      <w:r w:rsidR="007F3E67" w:rsidRPr="007F3E67">
        <w:rPr>
          <w:lang w:val="fr-FR"/>
        </w:rPr>
        <w:t>’</w:t>
      </w:r>
      <w:r w:rsidRPr="007F3E67">
        <w:rPr>
          <w:lang w:val="fr-FR"/>
        </w:rPr>
        <w:t>arrêt de la Cour de cassation</w:t>
      </w:r>
      <w:r w:rsidR="00AB1B61" w:rsidRPr="007F3E67">
        <w:rPr>
          <w:lang w:val="fr-FR"/>
        </w:rPr>
        <w:t xml:space="preserve"> </w:t>
      </w:r>
      <w:r w:rsidR="00CC5CA5" w:rsidRPr="007F3E67">
        <w:rPr>
          <w:lang w:val="fr-FR"/>
        </w:rPr>
        <w:t xml:space="preserve">rendu le </w:t>
      </w:r>
      <w:r w:rsidR="00DD3007" w:rsidRPr="007F3E67">
        <w:rPr>
          <w:lang w:val="fr-FR"/>
        </w:rPr>
        <w:t>14 juin 2013 et dépos</w:t>
      </w:r>
      <w:r w:rsidR="007141CA" w:rsidRPr="007F3E67">
        <w:rPr>
          <w:lang w:val="fr-FR"/>
        </w:rPr>
        <w:t>é</w:t>
      </w:r>
      <w:r w:rsidR="00DD3007" w:rsidRPr="007F3E67">
        <w:rPr>
          <w:lang w:val="fr-FR"/>
        </w:rPr>
        <w:t xml:space="preserve"> le </w:t>
      </w:r>
      <w:r w:rsidR="00012487" w:rsidRPr="007F3E67">
        <w:rPr>
          <w:lang w:val="fr-FR"/>
        </w:rPr>
        <w:t>10 septembre 2013</w:t>
      </w:r>
      <w:r w:rsidRPr="007F3E67">
        <w:rPr>
          <w:lang w:val="fr-FR"/>
        </w:rPr>
        <w:t xml:space="preserve"> (paragraphe </w:t>
      </w:r>
      <w:r w:rsidR="0065107D" w:rsidRPr="007F3E67">
        <w:rPr>
          <w:lang w:val="fr-FR"/>
        </w:rPr>
        <w:fldChar w:fldCharType="begin"/>
      </w:r>
      <w:r w:rsidR="0065107D" w:rsidRPr="007F3E67">
        <w:rPr>
          <w:lang w:val="fr-FR"/>
        </w:rPr>
        <w:instrText xml:space="preserve"> REF Cour_Cassation \h </w:instrText>
      </w:r>
      <w:r w:rsidR="007E235C" w:rsidRPr="007F3E67">
        <w:rPr>
          <w:lang w:val="fr-FR"/>
        </w:rPr>
        <w:instrText xml:space="preserve"> \* MERGEFORMAT </w:instrText>
      </w:r>
      <w:r w:rsidR="0065107D" w:rsidRPr="007F3E67">
        <w:rPr>
          <w:lang w:val="fr-FR"/>
        </w:rPr>
      </w:r>
      <w:r w:rsidR="0065107D" w:rsidRPr="007F3E67">
        <w:rPr>
          <w:lang w:val="fr-FR"/>
        </w:rPr>
        <w:fldChar w:fldCharType="separate"/>
      </w:r>
      <w:r w:rsidR="007F3E67" w:rsidRPr="007F3E67">
        <w:rPr>
          <w:noProof/>
          <w:lang w:val="fr-FR"/>
        </w:rPr>
        <w:t>69</w:t>
      </w:r>
      <w:r w:rsidR="0065107D" w:rsidRPr="007F3E67">
        <w:rPr>
          <w:lang w:val="fr-FR"/>
        </w:rPr>
        <w:fldChar w:fldCharType="end"/>
      </w:r>
      <w:r w:rsidRPr="007F3E67">
        <w:rPr>
          <w:lang w:val="fr-FR"/>
        </w:rPr>
        <w:t xml:space="preserve"> ci-dessus).</w:t>
      </w:r>
      <w:r w:rsidR="00012487" w:rsidRPr="007F3E67">
        <w:rPr>
          <w:lang w:val="fr-FR"/>
        </w:rPr>
        <w:t xml:space="preserve"> </w:t>
      </w:r>
      <w:r w:rsidRPr="007F3E67">
        <w:rPr>
          <w:lang w:val="fr-FR"/>
        </w:rPr>
        <w:t>En conséquence, cette partie de l</w:t>
      </w:r>
      <w:r w:rsidR="007F3E67" w:rsidRPr="007F3E67">
        <w:rPr>
          <w:lang w:val="fr-FR"/>
        </w:rPr>
        <w:t>’</w:t>
      </w:r>
      <w:r w:rsidRPr="007F3E67">
        <w:rPr>
          <w:lang w:val="fr-FR"/>
        </w:rPr>
        <w:t>exception du Gouvernement tirée du non</w:t>
      </w:r>
      <w:r w:rsidR="009206B2" w:rsidRPr="007F3E67">
        <w:rPr>
          <w:lang w:val="fr-FR"/>
        </w:rPr>
        <w:noBreakHyphen/>
      </w:r>
      <w:r w:rsidRPr="007F3E67">
        <w:rPr>
          <w:lang w:val="fr-FR"/>
        </w:rPr>
        <w:t>épuisement des voies de recours internes</w:t>
      </w:r>
      <w:r w:rsidR="00AA156E" w:rsidRPr="007F3E67">
        <w:rPr>
          <w:lang w:val="fr-FR"/>
        </w:rPr>
        <w:t xml:space="preserve"> en matière pénale</w:t>
      </w:r>
      <w:r w:rsidRPr="007F3E67">
        <w:rPr>
          <w:lang w:val="fr-FR"/>
        </w:rPr>
        <w:t xml:space="preserve"> ne peut être retenue.</w:t>
      </w:r>
    </w:p>
    <w:p w:rsidR="003E1925" w:rsidRPr="007F3E67" w:rsidRDefault="007141CA" w:rsidP="007F3E67">
      <w:pPr>
        <w:pStyle w:val="ECHRHeading4"/>
        <w:rPr>
          <w:lang w:val="fr-FR"/>
        </w:rPr>
      </w:pPr>
      <w:r w:rsidRPr="007F3E67">
        <w:rPr>
          <w:lang w:val="fr-FR"/>
        </w:rPr>
        <w:t>c</w:t>
      </w:r>
      <w:r w:rsidR="003E1925" w:rsidRPr="007F3E67">
        <w:rPr>
          <w:lang w:val="fr-FR"/>
        </w:rPr>
        <w:t>)</w:t>
      </w:r>
      <w:r w:rsidR="005670AC" w:rsidRPr="007F3E67">
        <w:rPr>
          <w:lang w:val="fr-FR"/>
        </w:rPr>
        <w:t>  </w:t>
      </w:r>
      <w:r w:rsidR="003E1925" w:rsidRPr="007F3E67">
        <w:rPr>
          <w:lang w:val="fr-FR"/>
        </w:rPr>
        <w:t>L</w:t>
      </w:r>
      <w:r w:rsidR="007F3E67" w:rsidRPr="007F3E67">
        <w:rPr>
          <w:lang w:val="fr-FR"/>
        </w:rPr>
        <w:t>’</w:t>
      </w:r>
      <w:r w:rsidR="003E1925" w:rsidRPr="007F3E67">
        <w:rPr>
          <w:lang w:val="fr-FR"/>
        </w:rPr>
        <w:t>exception du Gouvernement tirée du non-épuisement des voies de recours internes en matière civile</w:t>
      </w:r>
    </w:p>
    <w:p w:rsidR="003E1925" w:rsidRPr="007F3E67" w:rsidRDefault="003E1925" w:rsidP="007F3E67">
      <w:pPr>
        <w:pStyle w:val="ECHRHeading5"/>
        <w:rPr>
          <w:lang w:val="fr-FR"/>
        </w:rPr>
      </w:pPr>
      <w:r w:rsidRPr="007F3E67">
        <w:rPr>
          <w:lang w:val="fr-FR"/>
        </w:rPr>
        <w:t>i.</w:t>
      </w:r>
      <w:r w:rsidR="00CC5CA5" w:rsidRPr="007F3E67">
        <w:rPr>
          <w:lang w:val="fr-FR"/>
        </w:rPr>
        <w:t>  </w:t>
      </w:r>
      <w:r w:rsidRPr="007F3E67">
        <w:rPr>
          <w:lang w:val="fr-FR"/>
        </w:rPr>
        <w:t>Thèses des parties</w:t>
      </w:r>
    </w:p>
    <w:bookmarkStart w:id="16" w:name="non_epuisement_voie_civile"/>
    <w:p w:rsidR="003E1925" w:rsidRPr="007F3E67" w:rsidRDefault="003E1925" w:rsidP="007F3E67">
      <w:pPr>
        <w:pStyle w:val="ECHRPara"/>
        <w:rPr>
          <w:lang w:val="fr-FR"/>
        </w:rPr>
      </w:pPr>
      <w:r w:rsidRPr="007F3E67">
        <w:rPr>
          <w:lang w:val="fr-FR"/>
        </w:rPr>
        <w:fldChar w:fldCharType="begin"/>
      </w:r>
      <w:r w:rsidRPr="007F3E67">
        <w:rPr>
          <w:lang w:val="fr-FR"/>
        </w:rPr>
        <w:instrText xml:space="preserve"> SEQ level0 \*arabic </w:instrText>
      </w:r>
      <w:r w:rsidRPr="007F3E67">
        <w:rPr>
          <w:lang w:val="fr-FR"/>
        </w:rPr>
        <w:fldChar w:fldCharType="separate"/>
      </w:r>
      <w:r w:rsidR="007F3E67" w:rsidRPr="007F3E67">
        <w:rPr>
          <w:noProof/>
          <w:lang w:val="fr-FR"/>
        </w:rPr>
        <w:t>109</w:t>
      </w:r>
      <w:r w:rsidRPr="007F3E67">
        <w:rPr>
          <w:lang w:val="fr-FR"/>
        </w:rPr>
        <w:fldChar w:fldCharType="end"/>
      </w:r>
      <w:bookmarkEnd w:id="16"/>
      <w:r w:rsidRPr="007F3E67">
        <w:rPr>
          <w:lang w:val="fr-FR"/>
        </w:rPr>
        <w:t xml:space="preserve">.  Le Gouvernement </w:t>
      </w:r>
      <w:r w:rsidR="00304435" w:rsidRPr="007F3E67">
        <w:rPr>
          <w:lang w:val="fr-FR"/>
        </w:rPr>
        <w:t xml:space="preserve">soutient </w:t>
      </w:r>
      <w:r w:rsidR="001971A5" w:rsidRPr="007F3E67">
        <w:rPr>
          <w:lang w:val="fr-FR"/>
        </w:rPr>
        <w:t xml:space="preserve">aussi </w:t>
      </w:r>
      <w:r w:rsidRPr="007F3E67">
        <w:rPr>
          <w:lang w:val="fr-FR"/>
        </w:rPr>
        <w:t xml:space="preserve">que les requérants auraient dû entamer une action civile </w:t>
      </w:r>
      <w:r w:rsidR="00AB1B61" w:rsidRPr="007F3E67">
        <w:rPr>
          <w:lang w:val="fr-FR"/>
        </w:rPr>
        <w:t xml:space="preserve">en dommages-intérêts </w:t>
      </w:r>
      <w:r w:rsidRPr="007F3E67">
        <w:rPr>
          <w:lang w:val="fr-FR"/>
        </w:rPr>
        <w:t>afin d</w:t>
      </w:r>
      <w:r w:rsidR="007F3E67" w:rsidRPr="007F3E67">
        <w:rPr>
          <w:lang w:val="fr-FR"/>
        </w:rPr>
        <w:t>’</w:t>
      </w:r>
      <w:r w:rsidRPr="007F3E67">
        <w:rPr>
          <w:lang w:val="fr-FR"/>
        </w:rPr>
        <w:t>obtenir l</w:t>
      </w:r>
      <w:r w:rsidR="007F3E67" w:rsidRPr="007F3E67">
        <w:rPr>
          <w:lang w:val="fr-FR"/>
        </w:rPr>
        <w:t>’</w:t>
      </w:r>
      <w:r w:rsidRPr="007F3E67">
        <w:rPr>
          <w:lang w:val="fr-FR"/>
        </w:rPr>
        <w:t xml:space="preserve">indemnisation du préjudice matériel et moral </w:t>
      </w:r>
      <w:r w:rsidR="00EB0910" w:rsidRPr="007F3E67">
        <w:rPr>
          <w:lang w:val="fr-FR"/>
        </w:rPr>
        <w:t>découlant des</w:t>
      </w:r>
      <w:r w:rsidRPr="007F3E67">
        <w:rPr>
          <w:lang w:val="fr-FR"/>
        </w:rPr>
        <w:t xml:space="preserve"> violences dont ils auraient été victimes. </w:t>
      </w:r>
      <w:r w:rsidR="00304435" w:rsidRPr="007F3E67">
        <w:rPr>
          <w:lang w:val="fr-FR"/>
        </w:rPr>
        <w:t>Les intéressés ne l</w:t>
      </w:r>
      <w:r w:rsidR="007F3E67" w:rsidRPr="007F3E67">
        <w:rPr>
          <w:lang w:val="fr-FR"/>
        </w:rPr>
        <w:t>’</w:t>
      </w:r>
      <w:r w:rsidR="00304435" w:rsidRPr="007F3E67">
        <w:rPr>
          <w:lang w:val="fr-FR"/>
        </w:rPr>
        <w:t>ayant pas fait, il estime d</w:t>
      </w:r>
      <w:r w:rsidR="00B42DC8" w:rsidRPr="007F3E67">
        <w:rPr>
          <w:lang w:val="fr-FR"/>
        </w:rPr>
        <w:t>ès lors</w:t>
      </w:r>
      <w:r w:rsidRPr="007F3E67">
        <w:rPr>
          <w:lang w:val="fr-FR"/>
        </w:rPr>
        <w:t xml:space="preserve"> </w:t>
      </w:r>
      <w:r w:rsidR="00304435" w:rsidRPr="007F3E67">
        <w:rPr>
          <w:lang w:val="fr-FR"/>
        </w:rPr>
        <w:t>que ces derniers</w:t>
      </w:r>
      <w:r w:rsidRPr="007F3E67">
        <w:rPr>
          <w:lang w:val="fr-FR"/>
        </w:rPr>
        <w:t xml:space="preserve"> n</w:t>
      </w:r>
      <w:r w:rsidR="007F3E67" w:rsidRPr="007F3E67">
        <w:rPr>
          <w:lang w:val="fr-FR"/>
        </w:rPr>
        <w:t>’</w:t>
      </w:r>
      <w:r w:rsidRPr="007F3E67">
        <w:rPr>
          <w:lang w:val="fr-FR"/>
        </w:rPr>
        <w:t>ont pas permis à l</w:t>
      </w:r>
      <w:r w:rsidR="007F3E67" w:rsidRPr="007F3E67">
        <w:rPr>
          <w:lang w:val="fr-FR"/>
        </w:rPr>
        <w:t>’</w:t>
      </w:r>
      <w:r w:rsidRPr="007F3E67">
        <w:rPr>
          <w:lang w:val="fr-FR"/>
        </w:rPr>
        <w:t xml:space="preserve">État italien de résoudre les affaires litigieuses </w:t>
      </w:r>
      <w:r w:rsidR="00304435" w:rsidRPr="007F3E67">
        <w:rPr>
          <w:lang w:val="fr-FR"/>
        </w:rPr>
        <w:t xml:space="preserve">au </w:t>
      </w:r>
      <w:r w:rsidRPr="007F3E67">
        <w:rPr>
          <w:lang w:val="fr-FR"/>
        </w:rPr>
        <w:t>niveau interne</w:t>
      </w:r>
      <w:r w:rsidR="00836F9C" w:rsidRPr="007F3E67">
        <w:rPr>
          <w:lang w:val="fr-FR"/>
        </w:rPr>
        <w:t>,</w:t>
      </w:r>
      <w:r w:rsidR="00EB0910" w:rsidRPr="007F3E67">
        <w:rPr>
          <w:lang w:val="fr-FR"/>
        </w:rPr>
        <w:t xml:space="preserve"> comme le veut le principe de subsidiarité</w:t>
      </w:r>
      <w:r w:rsidRPr="007F3E67">
        <w:rPr>
          <w:lang w:val="fr-FR"/>
        </w:rPr>
        <w:t>.</w:t>
      </w:r>
    </w:p>
    <w:p w:rsidR="003E1925" w:rsidRPr="007F3E67" w:rsidRDefault="003E1925" w:rsidP="007F3E67">
      <w:pPr>
        <w:pStyle w:val="ECHRPara"/>
        <w:rPr>
          <w:lang w:val="fr-FR"/>
        </w:rPr>
      </w:pPr>
      <w:r w:rsidRPr="007F3E67">
        <w:rPr>
          <w:lang w:val="fr-FR"/>
        </w:rPr>
        <w:fldChar w:fldCharType="begin"/>
      </w:r>
      <w:r w:rsidRPr="007F3E67">
        <w:rPr>
          <w:lang w:val="fr-FR"/>
        </w:rPr>
        <w:instrText xml:space="preserve"> SEQ level0 \*arabic </w:instrText>
      </w:r>
      <w:r w:rsidRPr="007F3E67">
        <w:rPr>
          <w:lang w:val="fr-FR"/>
        </w:rPr>
        <w:fldChar w:fldCharType="separate"/>
      </w:r>
      <w:r w:rsidR="007F3E67" w:rsidRPr="007F3E67">
        <w:rPr>
          <w:noProof/>
          <w:lang w:val="fr-FR"/>
        </w:rPr>
        <w:t>110</w:t>
      </w:r>
      <w:r w:rsidRPr="007F3E67">
        <w:rPr>
          <w:lang w:val="fr-FR"/>
        </w:rPr>
        <w:fldChar w:fldCharType="end"/>
      </w:r>
      <w:r w:rsidRPr="007F3E67">
        <w:rPr>
          <w:lang w:val="fr-FR"/>
        </w:rPr>
        <w:t xml:space="preserve">.  Le Gouvernement </w:t>
      </w:r>
      <w:r w:rsidR="0064307B" w:rsidRPr="007F3E67">
        <w:rPr>
          <w:lang w:val="fr-FR"/>
        </w:rPr>
        <w:t>indique</w:t>
      </w:r>
      <w:r w:rsidRPr="007F3E67">
        <w:rPr>
          <w:lang w:val="fr-FR"/>
        </w:rPr>
        <w:t xml:space="preserve"> que les requérants </w:t>
      </w:r>
      <w:r w:rsidR="0064307B" w:rsidRPr="007F3E67">
        <w:rPr>
          <w:lang w:val="fr-FR"/>
        </w:rPr>
        <w:t xml:space="preserve">ont </w:t>
      </w:r>
      <w:r w:rsidRPr="007F3E67">
        <w:rPr>
          <w:lang w:val="fr-FR"/>
        </w:rPr>
        <w:t xml:space="preserve">reçu, en tant que parties civiles, des indemnités provisionnelles dont le montant </w:t>
      </w:r>
      <w:r w:rsidR="00F0487A" w:rsidRPr="007F3E67">
        <w:rPr>
          <w:lang w:val="fr-FR"/>
        </w:rPr>
        <w:t xml:space="preserve">se serait </w:t>
      </w:r>
      <w:r w:rsidR="00F0487A" w:rsidRPr="007F3E67">
        <w:rPr>
          <w:lang w:val="fr-FR"/>
        </w:rPr>
        <w:lastRenderedPageBreak/>
        <w:t>échelonné</w:t>
      </w:r>
      <w:r w:rsidR="0064307B" w:rsidRPr="007F3E67">
        <w:rPr>
          <w:lang w:val="fr-FR"/>
        </w:rPr>
        <w:t xml:space="preserve"> </w:t>
      </w:r>
      <w:r w:rsidRPr="007F3E67">
        <w:rPr>
          <w:lang w:val="fr-FR"/>
        </w:rPr>
        <w:t xml:space="preserve">entre 10 000 </w:t>
      </w:r>
      <w:r w:rsidR="0064307B" w:rsidRPr="007F3E67">
        <w:rPr>
          <w:lang w:val="fr-FR"/>
        </w:rPr>
        <w:t xml:space="preserve">EUR </w:t>
      </w:r>
      <w:r w:rsidRPr="007F3E67">
        <w:rPr>
          <w:lang w:val="fr-FR"/>
        </w:rPr>
        <w:t xml:space="preserve">et 30 000 EUR. Il ajoute que, dans certains cas, les tribunaux nationaux </w:t>
      </w:r>
      <w:r w:rsidR="0064307B" w:rsidRPr="007F3E67">
        <w:rPr>
          <w:lang w:val="fr-FR"/>
        </w:rPr>
        <w:t xml:space="preserve">ont accordé </w:t>
      </w:r>
      <w:r w:rsidR="00B42DC8" w:rsidRPr="007F3E67">
        <w:rPr>
          <w:lang w:val="fr-FR"/>
        </w:rPr>
        <w:t>d</w:t>
      </w:r>
      <w:r w:rsidRPr="007F3E67">
        <w:rPr>
          <w:lang w:val="fr-FR"/>
        </w:rPr>
        <w:t>es indemnités provisionnelles s</w:t>
      </w:r>
      <w:r w:rsidR="007F3E67" w:rsidRPr="007F3E67">
        <w:rPr>
          <w:lang w:val="fr-FR"/>
        </w:rPr>
        <w:t>’</w:t>
      </w:r>
      <w:r w:rsidRPr="007F3E67">
        <w:rPr>
          <w:lang w:val="fr-FR"/>
        </w:rPr>
        <w:t>élevant à 210 000 EUR</w:t>
      </w:r>
      <w:r w:rsidR="007141CA" w:rsidRPr="007F3E67">
        <w:rPr>
          <w:lang w:val="fr-FR"/>
        </w:rPr>
        <w:t>.</w:t>
      </w:r>
    </w:p>
    <w:p w:rsidR="003E1925" w:rsidRPr="007F3E67" w:rsidRDefault="003E1925" w:rsidP="007F3E67">
      <w:pPr>
        <w:pStyle w:val="ECHRPara"/>
        <w:rPr>
          <w:i/>
          <w:lang w:val="fr-FR"/>
        </w:rPr>
      </w:pPr>
      <w:r w:rsidRPr="007F3E67">
        <w:rPr>
          <w:lang w:val="fr-FR"/>
        </w:rPr>
        <w:fldChar w:fldCharType="begin"/>
      </w:r>
      <w:r w:rsidRPr="007F3E67">
        <w:rPr>
          <w:lang w:val="fr-FR"/>
        </w:rPr>
        <w:instrText xml:space="preserve"> SEQ level0 \*arabic </w:instrText>
      </w:r>
      <w:r w:rsidRPr="007F3E67">
        <w:rPr>
          <w:lang w:val="fr-FR"/>
        </w:rPr>
        <w:fldChar w:fldCharType="separate"/>
      </w:r>
      <w:r w:rsidR="007F3E67" w:rsidRPr="007F3E67">
        <w:rPr>
          <w:noProof/>
          <w:lang w:val="fr-FR"/>
        </w:rPr>
        <w:t>111</w:t>
      </w:r>
      <w:r w:rsidRPr="007F3E67">
        <w:rPr>
          <w:lang w:val="fr-FR"/>
        </w:rPr>
        <w:fldChar w:fldCharType="end"/>
      </w:r>
      <w:r w:rsidRPr="007F3E67">
        <w:rPr>
          <w:lang w:val="fr-FR"/>
        </w:rPr>
        <w:t>.  </w:t>
      </w:r>
      <w:r w:rsidR="00B54128" w:rsidRPr="007F3E67">
        <w:rPr>
          <w:lang w:val="fr-FR"/>
        </w:rPr>
        <w:t>L</w:t>
      </w:r>
      <w:r w:rsidRPr="007F3E67">
        <w:rPr>
          <w:lang w:val="fr-FR"/>
        </w:rPr>
        <w:t xml:space="preserve">es requérants </w:t>
      </w:r>
      <w:r w:rsidR="0064307B" w:rsidRPr="007F3E67">
        <w:rPr>
          <w:lang w:val="fr-FR"/>
        </w:rPr>
        <w:t xml:space="preserve">contestent </w:t>
      </w:r>
      <w:r w:rsidRPr="007F3E67">
        <w:rPr>
          <w:lang w:val="fr-FR"/>
        </w:rPr>
        <w:t xml:space="preserve">la thèse du Gouvernement. En effet, </w:t>
      </w:r>
      <w:r w:rsidR="0064307B" w:rsidRPr="007F3E67">
        <w:rPr>
          <w:lang w:val="fr-FR"/>
        </w:rPr>
        <w:t xml:space="preserve">ils </w:t>
      </w:r>
      <w:r w:rsidRPr="007F3E67">
        <w:rPr>
          <w:lang w:val="fr-FR"/>
        </w:rPr>
        <w:t>arguent que la seule indemnisation ne peut remédier à une violation de l</w:t>
      </w:r>
      <w:r w:rsidR="007F3E67" w:rsidRPr="007F3E67">
        <w:rPr>
          <w:lang w:val="fr-FR"/>
        </w:rPr>
        <w:t>’</w:t>
      </w:r>
      <w:r w:rsidRPr="007F3E67">
        <w:rPr>
          <w:lang w:val="fr-FR"/>
        </w:rPr>
        <w:t>article 3 de la Convention lorsque l</w:t>
      </w:r>
      <w:r w:rsidR="007F3E67" w:rsidRPr="007F3E67">
        <w:rPr>
          <w:lang w:val="fr-FR"/>
        </w:rPr>
        <w:t>’</w:t>
      </w:r>
      <w:r w:rsidRPr="007F3E67">
        <w:rPr>
          <w:lang w:val="fr-FR"/>
        </w:rPr>
        <w:t>État n</w:t>
      </w:r>
      <w:r w:rsidR="007F3E67" w:rsidRPr="007F3E67">
        <w:rPr>
          <w:lang w:val="fr-FR"/>
        </w:rPr>
        <w:t>’</w:t>
      </w:r>
      <w:r w:rsidRPr="007F3E67">
        <w:rPr>
          <w:lang w:val="fr-FR"/>
        </w:rPr>
        <w:t xml:space="preserve">a pas pris de mesures raisonnables pour satisfaire à ses obligations découlant de </w:t>
      </w:r>
      <w:r w:rsidR="0064307B" w:rsidRPr="007F3E67">
        <w:rPr>
          <w:lang w:val="fr-FR"/>
        </w:rPr>
        <w:t xml:space="preserve">cet </w:t>
      </w:r>
      <w:r w:rsidRPr="007F3E67">
        <w:rPr>
          <w:lang w:val="fr-FR"/>
        </w:rPr>
        <w:t>article.</w:t>
      </w:r>
      <w:r w:rsidR="00B42DC8" w:rsidRPr="007F3E67">
        <w:rPr>
          <w:lang w:val="fr-FR"/>
        </w:rPr>
        <w:t xml:space="preserve"> </w:t>
      </w:r>
      <w:r w:rsidR="0064307B" w:rsidRPr="007F3E67">
        <w:rPr>
          <w:lang w:val="fr-FR"/>
        </w:rPr>
        <w:t>S</w:t>
      </w:r>
      <w:r w:rsidR="007F3E67" w:rsidRPr="007F3E67">
        <w:rPr>
          <w:lang w:val="fr-FR"/>
        </w:rPr>
        <w:t>’</w:t>
      </w:r>
      <w:r w:rsidR="001C6CCD" w:rsidRPr="007F3E67">
        <w:rPr>
          <w:lang w:val="fr-FR"/>
        </w:rPr>
        <w:t xml:space="preserve">appuyant sur la jurisprudence de </w:t>
      </w:r>
      <w:r w:rsidR="001971A5" w:rsidRPr="007F3E67">
        <w:rPr>
          <w:lang w:val="fr-FR"/>
        </w:rPr>
        <w:t>la</w:t>
      </w:r>
      <w:r w:rsidR="001C6CCD" w:rsidRPr="007F3E67">
        <w:rPr>
          <w:lang w:val="fr-FR"/>
        </w:rPr>
        <w:t xml:space="preserve"> Cour, ils estiment que</w:t>
      </w:r>
      <w:r w:rsidR="0064307B" w:rsidRPr="007F3E67">
        <w:rPr>
          <w:lang w:val="fr-FR"/>
        </w:rPr>
        <w:t>,</w:t>
      </w:r>
      <w:r w:rsidR="001C6CCD" w:rsidRPr="007F3E67">
        <w:rPr>
          <w:lang w:val="fr-FR"/>
        </w:rPr>
        <w:t xml:space="preserve"> si la réaction des autorités</w:t>
      </w:r>
      <w:r w:rsidR="00B42DC8" w:rsidRPr="007F3E67">
        <w:rPr>
          <w:lang w:val="fr-FR"/>
        </w:rPr>
        <w:t xml:space="preserve"> </w:t>
      </w:r>
      <w:r w:rsidR="001C6CCD" w:rsidRPr="007F3E67">
        <w:rPr>
          <w:lang w:val="fr-FR"/>
        </w:rPr>
        <w:t>aux épisodes de mauvais traitement</w:t>
      </w:r>
      <w:r w:rsidR="001971A5" w:rsidRPr="007F3E67">
        <w:rPr>
          <w:lang w:val="fr-FR"/>
        </w:rPr>
        <w:t>s</w:t>
      </w:r>
      <w:r w:rsidR="001C6CCD" w:rsidRPr="007F3E67">
        <w:rPr>
          <w:lang w:val="fr-FR"/>
        </w:rPr>
        <w:t xml:space="preserve"> </w:t>
      </w:r>
      <w:r w:rsidR="0064307B" w:rsidRPr="007F3E67">
        <w:rPr>
          <w:lang w:val="fr-FR"/>
        </w:rPr>
        <w:t>se borne</w:t>
      </w:r>
      <w:r w:rsidR="001C6CCD" w:rsidRPr="007F3E67">
        <w:rPr>
          <w:lang w:val="fr-FR"/>
        </w:rPr>
        <w:t xml:space="preserve"> à une simple indemnisation, sans </w:t>
      </w:r>
      <w:r w:rsidR="0064307B" w:rsidRPr="007F3E67">
        <w:rPr>
          <w:lang w:val="fr-FR"/>
        </w:rPr>
        <w:t>que les</w:t>
      </w:r>
      <w:r w:rsidR="001C6CCD" w:rsidRPr="007F3E67">
        <w:rPr>
          <w:lang w:val="fr-FR"/>
        </w:rPr>
        <w:t xml:space="preserve"> responsables </w:t>
      </w:r>
      <w:r w:rsidR="0064307B" w:rsidRPr="007F3E67">
        <w:rPr>
          <w:lang w:val="fr-FR"/>
        </w:rPr>
        <w:t>des</w:t>
      </w:r>
      <w:r w:rsidR="001C6CCD" w:rsidRPr="007F3E67">
        <w:rPr>
          <w:lang w:val="fr-FR"/>
        </w:rPr>
        <w:t xml:space="preserve"> actes</w:t>
      </w:r>
      <w:r w:rsidR="0064307B" w:rsidRPr="007F3E67">
        <w:rPr>
          <w:lang w:val="fr-FR"/>
        </w:rPr>
        <w:t xml:space="preserve"> en cause ne soient poursuivis et punis</w:t>
      </w:r>
      <w:r w:rsidR="001C6CCD" w:rsidRPr="007F3E67">
        <w:rPr>
          <w:lang w:val="fr-FR"/>
        </w:rPr>
        <w:t>, les agents de l</w:t>
      </w:r>
      <w:r w:rsidR="007F3E67" w:rsidRPr="007F3E67">
        <w:rPr>
          <w:lang w:val="fr-FR"/>
        </w:rPr>
        <w:t>’</w:t>
      </w:r>
      <w:r w:rsidR="001C6CCD" w:rsidRPr="007F3E67">
        <w:rPr>
          <w:lang w:val="fr-FR"/>
        </w:rPr>
        <w:t xml:space="preserve">État pourraient en pratique échapper aux conséquences liées à la violation des droits des victimes de mauvais traitements, en vidant de fait </w:t>
      </w:r>
      <w:r w:rsidR="0064307B" w:rsidRPr="007F3E67">
        <w:rPr>
          <w:lang w:val="fr-FR"/>
        </w:rPr>
        <w:t xml:space="preserve">de sa substance </w:t>
      </w:r>
      <w:r w:rsidR="001C6CCD" w:rsidRPr="007F3E67">
        <w:rPr>
          <w:lang w:val="fr-FR"/>
        </w:rPr>
        <w:t>l</w:t>
      </w:r>
      <w:r w:rsidR="007F3E67" w:rsidRPr="007F3E67">
        <w:rPr>
          <w:lang w:val="fr-FR"/>
        </w:rPr>
        <w:t>’</w:t>
      </w:r>
      <w:r w:rsidR="001C6CCD" w:rsidRPr="007F3E67">
        <w:rPr>
          <w:lang w:val="fr-FR"/>
        </w:rPr>
        <w:t xml:space="preserve">interdiction absolue </w:t>
      </w:r>
      <w:r w:rsidR="0064307B" w:rsidRPr="007F3E67">
        <w:rPr>
          <w:lang w:val="fr-FR"/>
        </w:rPr>
        <w:t xml:space="preserve">énoncée par </w:t>
      </w:r>
      <w:r w:rsidR="001C6CCD" w:rsidRPr="007F3E67">
        <w:rPr>
          <w:lang w:val="fr-FR"/>
        </w:rPr>
        <w:t>l</w:t>
      </w:r>
      <w:r w:rsidR="007F3E67" w:rsidRPr="007F3E67">
        <w:rPr>
          <w:lang w:val="fr-FR"/>
        </w:rPr>
        <w:t>’</w:t>
      </w:r>
      <w:r w:rsidR="001C6CCD" w:rsidRPr="007F3E67">
        <w:rPr>
          <w:lang w:val="fr-FR"/>
        </w:rPr>
        <w:t>article 3</w:t>
      </w:r>
      <w:r w:rsidR="0064307B" w:rsidRPr="007F3E67">
        <w:rPr>
          <w:lang w:val="fr-FR"/>
        </w:rPr>
        <w:t xml:space="preserve"> de la Convention</w:t>
      </w:r>
      <w:r w:rsidR="001C21AD" w:rsidRPr="007F3E67">
        <w:rPr>
          <w:lang w:val="fr-FR"/>
        </w:rPr>
        <w:t>. Ils citent à cet effet</w:t>
      </w:r>
      <w:r w:rsidR="00B42DC8" w:rsidRPr="007F3E67">
        <w:rPr>
          <w:lang w:val="fr-FR"/>
        </w:rPr>
        <w:t xml:space="preserve"> les arrêts </w:t>
      </w:r>
      <w:r w:rsidR="00B42DC8" w:rsidRPr="007F3E67">
        <w:rPr>
          <w:i/>
          <w:lang w:val="fr-FR"/>
        </w:rPr>
        <w:t>Assenov et autres c. Bulgarie</w:t>
      </w:r>
      <w:r w:rsidR="00B42DC8" w:rsidRPr="007F3E67">
        <w:rPr>
          <w:lang w:val="fr-FR"/>
        </w:rPr>
        <w:t>, (28</w:t>
      </w:r>
      <w:r w:rsidR="001C21AD" w:rsidRPr="007F3E67">
        <w:rPr>
          <w:lang w:val="fr-FR"/>
        </w:rPr>
        <w:t> </w:t>
      </w:r>
      <w:r w:rsidR="00B42DC8" w:rsidRPr="007F3E67">
        <w:rPr>
          <w:lang w:val="fr-FR"/>
        </w:rPr>
        <w:t xml:space="preserve">octobre 1998, § 71, </w:t>
      </w:r>
      <w:r w:rsidR="00B42DC8" w:rsidRPr="007F3E67">
        <w:rPr>
          <w:i/>
          <w:lang w:val="fr-FR"/>
        </w:rPr>
        <w:t xml:space="preserve">Recueil </w:t>
      </w:r>
      <w:r w:rsidR="00B42DC8" w:rsidRPr="007F3E67">
        <w:rPr>
          <w:lang w:val="fr-FR"/>
        </w:rPr>
        <w:t>1998</w:t>
      </w:r>
      <w:r w:rsidR="00B42DC8" w:rsidRPr="007F3E67">
        <w:rPr>
          <w:lang w:val="fr-FR"/>
        </w:rPr>
        <w:noBreakHyphen/>
        <w:t>VIII)</w:t>
      </w:r>
      <w:r w:rsidR="001C21AD" w:rsidRPr="007F3E67">
        <w:rPr>
          <w:lang w:val="fr-FR"/>
        </w:rPr>
        <w:t xml:space="preserve">, </w:t>
      </w:r>
      <w:r w:rsidR="001C21AD" w:rsidRPr="007F3E67">
        <w:rPr>
          <w:i/>
          <w:lang w:val="fr-FR"/>
        </w:rPr>
        <w:t xml:space="preserve">Gäfgen </w:t>
      </w:r>
      <w:r w:rsidR="001C21AD" w:rsidRPr="007F3E67">
        <w:rPr>
          <w:lang w:val="fr-FR"/>
        </w:rPr>
        <w:t>(précité, § 119),</w:t>
      </w:r>
      <w:r w:rsidR="001C21AD" w:rsidRPr="007F3E67">
        <w:rPr>
          <w:i/>
          <w:lang w:val="fr-FR"/>
        </w:rPr>
        <w:t xml:space="preserve"> Krastanov c. Bulgarie</w:t>
      </w:r>
      <w:r w:rsidR="001C21AD" w:rsidRPr="007F3E67">
        <w:rPr>
          <w:lang w:val="fr-FR"/>
        </w:rPr>
        <w:t xml:space="preserve"> (n</w:t>
      </w:r>
      <w:r w:rsidR="001C21AD" w:rsidRPr="007F3E67">
        <w:rPr>
          <w:vertAlign w:val="superscript"/>
          <w:lang w:val="fr-FR"/>
        </w:rPr>
        <w:t>o</w:t>
      </w:r>
      <w:r w:rsidR="001C21AD" w:rsidRPr="007F3E67">
        <w:rPr>
          <w:lang w:val="fr-FR"/>
        </w:rPr>
        <w:t xml:space="preserve"> 50222/99, § 60, 30 septembre 2004),</w:t>
      </w:r>
      <w:r w:rsidR="001C21AD" w:rsidRPr="007F3E67">
        <w:rPr>
          <w:i/>
          <w:lang w:val="fr-FR"/>
        </w:rPr>
        <w:t xml:space="preserve"> Çamdereli c. Turquie</w:t>
      </w:r>
      <w:r w:rsidR="001C21AD" w:rsidRPr="007F3E67">
        <w:rPr>
          <w:lang w:val="fr-FR"/>
        </w:rPr>
        <w:t xml:space="preserve"> (n</w:t>
      </w:r>
      <w:r w:rsidR="001C21AD" w:rsidRPr="007F3E67">
        <w:rPr>
          <w:vertAlign w:val="superscript"/>
          <w:lang w:val="fr-FR"/>
        </w:rPr>
        <w:t>o</w:t>
      </w:r>
      <w:r w:rsidR="001C21AD" w:rsidRPr="007F3E67">
        <w:rPr>
          <w:lang w:val="fr-FR"/>
        </w:rPr>
        <w:t xml:space="preserve"> 28433/02, § 29, 17 juillet 2008)</w:t>
      </w:r>
      <w:r w:rsidR="0064307B" w:rsidRPr="007F3E67">
        <w:rPr>
          <w:lang w:val="fr-FR"/>
        </w:rPr>
        <w:t>,</w:t>
      </w:r>
      <w:r w:rsidR="001C21AD" w:rsidRPr="007F3E67">
        <w:rPr>
          <w:lang w:val="fr-FR"/>
        </w:rPr>
        <w:t xml:space="preserve"> et </w:t>
      </w:r>
      <w:r w:rsidR="007F3E67" w:rsidRPr="007F3E67">
        <w:rPr>
          <w:i/>
          <w:lang w:val="fr-FR"/>
        </w:rPr>
        <w:t>Vladimir </w:t>
      </w:r>
      <w:r w:rsidR="00CA6B50" w:rsidRPr="007F3E67">
        <w:rPr>
          <w:i/>
          <w:lang w:val="fr-FR"/>
        </w:rPr>
        <w:t>Romanov</w:t>
      </w:r>
      <w:r w:rsidR="001C21AD" w:rsidRPr="007F3E67">
        <w:rPr>
          <w:lang w:val="fr-FR"/>
        </w:rPr>
        <w:t xml:space="preserve"> (précité, § 78).</w:t>
      </w:r>
    </w:p>
    <w:p w:rsidR="00301040" w:rsidRPr="007F3E67" w:rsidRDefault="003E1925" w:rsidP="007F3E67">
      <w:pPr>
        <w:pStyle w:val="ECHRPara"/>
        <w:rPr>
          <w:lang w:val="fr-FR"/>
        </w:rPr>
      </w:pPr>
      <w:r w:rsidRPr="007F3E67">
        <w:rPr>
          <w:lang w:val="fr-FR"/>
        </w:rPr>
        <w:fldChar w:fldCharType="begin"/>
      </w:r>
      <w:r w:rsidRPr="007F3E67">
        <w:rPr>
          <w:lang w:val="fr-FR"/>
        </w:rPr>
        <w:instrText xml:space="preserve"> SEQ level0 \*arabic </w:instrText>
      </w:r>
      <w:r w:rsidRPr="007F3E67">
        <w:rPr>
          <w:lang w:val="fr-FR"/>
        </w:rPr>
        <w:fldChar w:fldCharType="separate"/>
      </w:r>
      <w:r w:rsidR="007F3E67" w:rsidRPr="007F3E67">
        <w:rPr>
          <w:noProof/>
          <w:lang w:val="fr-FR"/>
        </w:rPr>
        <w:t>112</w:t>
      </w:r>
      <w:r w:rsidRPr="007F3E67">
        <w:rPr>
          <w:lang w:val="fr-FR"/>
        </w:rPr>
        <w:fldChar w:fldCharType="end"/>
      </w:r>
      <w:r w:rsidRPr="007F3E67">
        <w:rPr>
          <w:lang w:val="fr-FR"/>
        </w:rPr>
        <w:t xml:space="preserve">.  En conclusion, les requérants </w:t>
      </w:r>
      <w:r w:rsidR="0064307B" w:rsidRPr="007F3E67">
        <w:rPr>
          <w:lang w:val="fr-FR"/>
        </w:rPr>
        <w:t xml:space="preserve">se plaignent </w:t>
      </w:r>
      <w:r w:rsidRPr="007F3E67">
        <w:rPr>
          <w:lang w:val="fr-FR"/>
        </w:rPr>
        <w:t>qu</w:t>
      </w:r>
      <w:r w:rsidR="007F3E67" w:rsidRPr="007F3E67">
        <w:rPr>
          <w:lang w:val="fr-FR"/>
        </w:rPr>
        <w:t>’</w:t>
      </w:r>
      <w:r w:rsidRPr="007F3E67">
        <w:rPr>
          <w:lang w:val="fr-FR"/>
        </w:rPr>
        <w:t>aucun remède effectif et efficac</w:t>
      </w:r>
      <w:r w:rsidR="00B54128" w:rsidRPr="007F3E67">
        <w:rPr>
          <w:lang w:val="fr-FR"/>
        </w:rPr>
        <w:t>e n</w:t>
      </w:r>
      <w:r w:rsidR="007F3E67" w:rsidRPr="007F3E67">
        <w:rPr>
          <w:lang w:val="fr-FR"/>
        </w:rPr>
        <w:t>’</w:t>
      </w:r>
      <w:r w:rsidR="00B54128" w:rsidRPr="007F3E67">
        <w:rPr>
          <w:lang w:val="fr-FR"/>
        </w:rPr>
        <w:t xml:space="preserve">existait </w:t>
      </w:r>
      <w:r w:rsidR="0064307B" w:rsidRPr="007F3E67">
        <w:rPr>
          <w:lang w:val="fr-FR"/>
        </w:rPr>
        <w:t>au</w:t>
      </w:r>
      <w:r w:rsidR="00B54128" w:rsidRPr="007F3E67">
        <w:rPr>
          <w:lang w:val="fr-FR"/>
        </w:rPr>
        <w:t xml:space="preserve"> niveau interne.</w:t>
      </w:r>
    </w:p>
    <w:p w:rsidR="003E1925" w:rsidRPr="007F3E67" w:rsidRDefault="003E1925" w:rsidP="007F3E67">
      <w:pPr>
        <w:pStyle w:val="ECHRHeading5"/>
        <w:rPr>
          <w:lang w:val="fr-FR"/>
        </w:rPr>
      </w:pPr>
      <w:r w:rsidRPr="007F3E67">
        <w:rPr>
          <w:lang w:val="fr-FR"/>
        </w:rPr>
        <w:t>ii.</w:t>
      </w:r>
      <w:r w:rsidR="0064307B" w:rsidRPr="007F3E67">
        <w:rPr>
          <w:lang w:val="fr-FR"/>
        </w:rPr>
        <w:t>  </w:t>
      </w:r>
      <w:r w:rsidRPr="007F3E67">
        <w:rPr>
          <w:lang w:val="fr-FR"/>
        </w:rPr>
        <w:t>Appréciation de la Cour</w:t>
      </w:r>
    </w:p>
    <w:p w:rsidR="00FC72D9" w:rsidRPr="007F3E67" w:rsidRDefault="00B54128" w:rsidP="007F3E67">
      <w:pPr>
        <w:pStyle w:val="ECHRPara"/>
        <w:rPr>
          <w:lang w:val="fr-FR"/>
        </w:rPr>
      </w:pPr>
      <w:r w:rsidRPr="007F3E67">
        <w:rPr>
          <w:lang w:val="fr-FR"/>
        </w:rPr>
        <w:fldChar w:fldCharType="begin"/>
      </w:r>
      <w:r w:rsidRPr="007F3E67">
        <w:rPr>
          <w:lang w:val="fr-FR"/>
        </w:rPr>
        <w:instrText xml:space="preserve"> SEQ level0 \*arabic </w:instrText>
      </w:r>
      <w:r w:rsidRPr="007F3E67">
        <w:rPr>
          <w:lang w:val="fr-FR"/>
        </w:rPr>
        <w:fldChar w:fldCharType="separate"/>
      </w:r>
      <w:r w:rsidR="007F3E67" w:rsidRPr="007F3E67">
        <w:rPr>
          <w:noProof/>
          <w:lang w:val="fr-FR"/>
        </w:rPr>
        <w:t>113</w:t>
      </w:r>
      <w:r w:rsidRPr="007F3E67">
        <w:rPr>
          <w:lang w:val="fr-FR"/>
        </w:rPr>
        <w:fldChar w:fldCharType="end"/>
      </w:r>
      <w:r w:rsidRPr="007F3E67">
        <w:rPr>
          <w:lang w:val="fr-FR"/>
        </w:rPr>
        <w:t>.  </w:t>
      </w:r>
      <w:r w:rsidR="001C21AD" w:rsidRPr="007F3E67">
        <w:rPr>
          <w:lang w:val="fr-FR"/>
        </w:rPr>
        <w:t>L</w:t>
      </w:r>
      <w:r w:rsidR="008D1138" w:rsidRPr="007F3E67">
        <w:rPr>
          <w:lang w:val="fr-FR"/>
        </w:rPr>
        <w:t>a Cour rappelle que, selon ses</w:t>
      </w:r>
      <w:r w:rsidR="005018FB" w:rsidRPr="007F3E67">
        <w:rPr>
          <w:lang w:val="fr-FR"/>
        </w:rPr>
        <w:t xml:space="preserve"> principes généraux relatifs à la règle de l</w:t>
      </w:r>
      <w:r w:rsidR="007F3E67" w:rsidRPr="007F3E67">
        <w:rPr>
          <w:lang w:val="fr-FR"/>
        </w:rPr>
        <w:t>’</w:t>
      </w:r>
      <w:r w:rsidR="005018FB" w:rsidRPr="007F3E67">
        <w:rPr>
          <w:lang w:val="fr-FR"/>
        </w:rPr>
        <w:t>épuisement des voies de recours internes</w:t>
      </w:r>
      <w:r w:rsidR="008D1138" w:rsidRPr="007F3E67">
        <w:rPr>
          <w:lang w:val="fr-FR"/>
        </w:rPr>
        <w:t xml:space="preserve"> (</w:t>
      </w:r>
      <w:r w:rsidR="005018FB" w:rsidRPr="007F3E67">
        <w:rPr>
          <w:i/>
          <w:lang w:val="fr-FR"/>
        </w:rPr>
        <w:t>Vučković et autres c. Serbie</w:t>
      </w:r>
      <w:r w:rsidR="005018FB" w:rsidRPr="007F3E67">
        <w:rPr>
          <w:lang w:val="fr-FR"/>
        </w:rPr>
        <w:t xml:space="preserve"> ([GC], n</w:t>
      </w:r>
      <w:r w:rsidR="005018FB" w:rsidRPr="007F3E67">
        <w:rPr>
          <w:vertAlign w:val="superscript"/>
          <w:lang w:val="fr-FR"/>
        </w:rPr>
        <w:t>os</w:t>
      </w:r>
      <w:r w:rsidR="005018FB" w:rsidRPr="007F3E67">
        <w:rPr>
          <w:lang w:val="fr-FR"/>
        </w:rPr>
        <w:t xml:space="preserve"> 17153/11 et autres, §§ 69-77, 25 mars 2014)</w:t>
      </w:r>
      <w:r w:rsidR="008D1138" w:rsidRPr="007F3E67">
        <w:rPr>
          <w:lang w:val="fr-FR"/>
        </w:rPr>
        <w:t xml:space="preserve">, </w:t>
      </w:r>
      <w:r w:rsidR="005018FB" w:rsidRPr="007F3E67">
        <w:rPr>
          <w:lang w:val="fr-FR"/>
        </w:rPr>
        <w:t>l</w:t>
      </w:r>
      <w:r w:rsidR="007F3E67" w:rsidRPr="007F3E67">
        <w:rPr>
          <w:lang w:val="fr-FR"/>
        </w:rPr>
        <w:t>’</w:t>
      </w:r>
      <w:r w:rsidR="005018FB" w:rsidRPr="007F3E67">
        <w:rPr>
          <w:lang w:val="fr-FR"/>
        </w:rPr>
        <w:t>article 35</w:t>
      </w:r>
      <w:r w:rsidR="009D7CBD" w:rsidRPr="007F3E67">
        <w:rPr>
          <w:lang w:val="fr-FR"/>
        </w:rPr>
        <w:t> </w:t>
      </w:r>
      <w:r w:rsidR="005018FB" w:rsidRPr="007F3E67">
        <w:rPr>
          <w:lang w:val="fr-FR"/>
        </w:rPr>
        <w:t>§ 1 de la Convention ne prescrit que l</w:t>
      </w:r>
      <w:r w:rsidR="007F3E67" w:rsidRPr="007F3E67">
        <w:rPr>
          <w:lang w:val="fr-FR"/>
        </w:rPr>
        <w:t>’</w:t>
      </w:r>
      <w:r w:rsidR="005018FB" w:rsidRPr="007F3E67">
        <w:rPr>
          <w:lang w:val="fr-FR"/>
        </w:rPr>
        <w:t>épuisement des recours à la fois relatifs aux violations incriminées</w:t>
      </w:r>
      <w:r w:rsidR="00A26B93" w:rsidRPr="007F3E67">
        <w:rPr>
          <w:lang w:val="fr-FR"/>
        </w:rPr>
        <w:t xml:space="preserve">, </w:t>
      </w:r>
      <w:r w:rsidR="005018FB" w:rsidRPr="007F3E67">
        <w:rPr>
          <w:lang w:val="fr-FR"/>
        </w:rPr>
        <w:t xml:space="preserve">disponibles </w:t>
      </w:r>
      <w:r w:rsidR="00A26B93" w:rsidRPr="007F3E67">
        <w:rPr>
          <w:lang w:val="fr-FR"/>
        </w:rPr>
        <w:t>et adéquats. Un recours est effectif lorsqu</w:t>
      </w:r>
      <w:r w:rsidR="007F3E67" w:rsidRPr="007F3E67">
        <w:rPr>
          <w:lang w:val="fr-FR"/>
        </w:rPr>
        <w:t>’</w:t>
      </w:r>
      <w:r w:rsidR="00A26B93" w:rsidRPr="007F3E67">
        <w:rPr>
          <w:lang w:val="fr-FR"/>
        </w:rPr>
        <w:t xml:space="preserve">il est disponible </w:t>
      </w:r>
      <w:r w:rsidR="005018FB" w:rsidRPr="007F3E67">
        <w:rPr>
          <w:lang w:val="fr-FR"/>
        </w:rPr>
        <w:t>tant en théorie qu</w:t>
      </w:r>
      <w:r w:rsidR="007F3E67" w:rsidRPr="007F3E67">
        <w:rPr>
          <w:lang w:val="fr-FR"/>
        </w:rPr>
        <w:t>’</w:t>
      </w:r>
      <w:r w:rsidR="005018FB" w:rsidRPr="007F3E67">
        <w:rPr>
          <w:lang w:val="fr-FR"/>
        </w:rPr>
        <w:t>en pratique à l</w:t>
      </w:r>
      <w:r w:rsidR="007F3E67" w:rsidRPr="007F3E67">
        <w:rPr>
          <w:lang w:val="fr-FR"/>
        </w:rPr>
        <w:t>’</w:t>
      </w:r>
      <w:r w:rsidR="005018FB" w:rsidRPr="007F3E67">
        <w:rPr>
          <w:lang w:val="fr-FR"/>
        </w:rPr>
        <w:t>époque des faits, c</w:t>
      </w:r>
      <w:r w:rsidR="007F3E67" w:rsidRPr="007F3E67">
        <w:rPr>
          <w:lang w:val="fr-FR"/>
        </w:rPr>
        <w:t>’</w:t>
      </w:r>
      <w:r w:rsidR="005018FB" w:rsidRPr="007F3E67">
        <w:rPr>
          <w:lang w:val="fr-FR"/>
        </w:rPr>
        <w:t>est-à-dire lorsqu</w:t>
      </w:r>
      <w:r w:rsidR="007F3E67" w:rsidRPr="007F3E67">
        <w:rPr>
          <w:lang w:val="fr-FR"/>
        </w:rPr>
        <w:t>’</w:t>
      </w:r>
      <w:r w:rsidR="005018FB" w:rsidRPr="007F3E67">
        <w:rPr>
          <w:lang w:val="fr-FR"/>
        </w:rPr>
        <w:t>il est accessible</w:t>
      </w:r>
      <w:r w:rsidR="00A26B93" w:rsidRPr="007F3E67">
        <w:rPr>
          <w:lang w:val="fr-FR"/>
        </w:rPr>
        <w:t xml:space="preserve"> et</w:t>
      </w:r>
      <w:r w:rsidR="005018FB" w:rsidRPr="007F3E67">
        <w:rPr>
          <w:lang w:val="fr-FR"/>
        </w:rPr>
        <w:t xml:space="preserve"> susceptible d</w:t>
      </w:r>
      <w:r w:rsidR="007F3E67" w:rsidRPr="007F3E67">
        <w:rPr>
          <w:lang w:val="fr-FR"/>
        </w:rPr>
        <w:t>’</w:t>
      </w:r>
      <w:r w:rsidR="005018FB" w:rsidRPr="007F3E67">
        <w:rPr>
          <w:lang w:val="fr-FR"/>
        </w:rPr>
        <w:t xml:space="preserve">offrir au requérant le redressement de ses griefs et </w:t>
      </w:r>
      <w:r w:rsidR="00A26B93" w:rsidRPr="007F3E67">
        <w:rPr>
          <w:lang w:val="fr-FR"/>
        </w:rPr>
        <w:t>qu</w:t>
      </w:r>
      <w:r w:rsidR="007F3E67" w:rsidRPr="007F3E67">
        <w:rPr>
          <w:lang w:val="fr-FR"/>
        </w:rPr>
        <w:t>’</w:t>
      </w:r>
      <w:r w:rsidR="00A26B93" w:rsidRPr="007F3E67">
        <w:rPr>
          <w:lang w:val="fr-FR"/>
        </w:rPr>
        <w:t xml:space="preserve">il </w:t>
      </w:r>
      <w:r w:rsidR="005018FB" w:rsidRPr="007F3E67">
        <w:rPr>
          <w:lang w:val="fr-FR"/>
        </w:rPr>
        <w:t>présente des perspectives raisonnables de succès (</w:t>
      </w:r>
      <w:r w:rsidR="005018FB" w:rsidRPr="007F3E67">
        <w:rPr>
          <w:i/>
          <w:lang w:val="fr-FR"/>
        </w:rPr>
        <w:t>Akdivar et autres c. Turquie</w:t>
      </w:r>
      <w:r w:rsidR="005018FB" w:rsidRPr="007F3E67">
        <w:rPr>
          <w:lang w:val="fr-FR"/>
        </w:rPr>
        <w:t xml:space="preserve">, 16 septembre 1996, § 68, </w:t>
      </w:r>
      <w:r w:rsidR="005018FB" w:rsidRPr="007F3E67">
        <w:rPr>
          <w:i/>
          <w:lang w:val="fr-FR"/>
        </w:rPr>
        <w:t xml:space="preserve">Recueil </w:t>
      </w:r>
      <w:r w:rsidR="005018FB" w:rsidRPr="007F3E67">
        <w:rPr>
          <w:lang w:val="fr-FR"/>
        </w:rPr>
        <w:t>1996</w:t>
      </w:r>
      <w:r w:rsidR="005018FB" w:rsidRPr="007F3E67">
        <w:rPr>
          <w:lang w:val="fr-FR"/>
        </w:rPr>
        <w:noBreakHyphen/>
        <w:t xml:space="preserve">IV, et </w:t>
      </w:r>
      <w:r w:rsidR="005018FB" w:rsidRPr="007F3E67">
        <w:rPr>
          <w:i/>
          <w:snapToGrid w:val="0"/>
          <w:lang w:val="fr-FR"/>
        </w:rPr>
        <w:t xml:space="preserve">Demopoulos et autres c. Turquie </w:t>
      </w:r>
      <w:r w:rsidR="005018FB" w:rsidRPr="007F3E67">
        <w:rPr>
          <w:snapToGrid w:val="0"/>
          <w:lang w:val="fr-FR"/>
        </w:rPr>
        <w:t>(déc.) [GC], n</w:t>
      </w:r>
      <w:r w:rsidR="005018FB" w:rsidRPr="007F3E67">
        <w:rPr>
          <w:snapToGrid w:val="0"/>
          <w:vertAlign w:val="superscript"/>
          <w:lang w:val="fr-FR"/>
        </w:rPr>
        <w:t>os</w:t>
      </w:r>
      <w:r w:rsidR="005018FB" w:rsidRPr="007F3E67">
        <w:rPr>
          <w:snapToGrid w:val="0"/>
          <w:lang w:val="fr-FR"/>
        </w:rPr>
        <w:t xml:space="preserve"> 46113/99, 3843/02, 13751/02, 13466/03, 10200/04, 14163/04, 19993/04 et 21819/04</w:t>
      </w:r>
      <w:r w:rsidR="007F3E67" w:rsidRPr="007F3E67">
        <w:rPr>
          <w:lang w:val="fr-FR"/>
        </w:rPr>
        <w:t>, § </w:t>
      </w:r>
      <w:r w:rsidR="005018FB" w:rsidRPr="007F3E67">
        <w:rPr>
          <w:lang w:val="fr-FR"/>
        </w:rPr>
        <w:t>70, CEDH 2010</w:t>
      </w:r>
      <w:r w:rsidR="00FC72D9" w:rsidRPr="007F3E67">
        <w:rPr>
          <w:lang w:val="fr-FR"/>
        </w:rPr>
        <w:t>).</w:t>
      </w:r>
    </w:p>
    <w:p w:rsidR="005018FB" w:rsidRPr="007F3E67" w:rsidRDefault="00FC72D9" w:rsidP="007F3E67">
      <w:pPr>
        <w:pStyle w:val="ECHRPara"/>
        <w:rPr>
          <w:rStyle w:val="ECHRParaChar"/>
          <w:lang w:val="fr-FR"/>
        </w:rPr>
      </w:pPr>
      <w:r w:rsidRPr="007F3E67">
        <w:rPr>
          <w:rStyle w:val="ECHRParaChar"/>
          <w:lang w:val="fr-FR"/>
        </w:rPr>
        <w:fldChar w:fldCharType="begin"/>
      </w:r>
      <w:r w:rsidRPr="007F3E67">
        <w:rPr>
          <w:rStyle w:val="ECHRParaChar"/>
          <w:lang w:val="fr-FR"/>
        </w:rPr>
        <w:instrText xml:space="preserve"> SEQ level0 \*arabic </w:instrText>
      </w:r>
      <w:r w:rsidRPr="007F3E67">
        <w:rPr>
          <w:rStyle w:val="ECHRParaChar"/>
          <w:lang w:val="fr-FR"/>
        </w:rPr>
        <w:fldChar w:fldCharType="separate"/>
      </w:r>
      <w:r w:rsidR="007F3E67" w:rsidRPr="007F3E67">
        <w:rPr>
          <w:rStyle w:val="ECHRParaChar"/>
          <w:noProof/>
          <w:lang w:val="fr-FR"/>
        </w:rPr>
        <w:t>114</w:t>
      </w:r>
      <w:r w:rsidRPr="007F3E67">
        <w:rPr>
          <w:rStyle w:val="ECHRParaChar"/>
          <w:lang w:val="fr-FR"/>
        </w:rPr>
        <w:fldChar w:fldCharType="end"/>
      </w:r>
      <w:r w:rsidRPr="007F3E67">
        <w:rPr>
          <w:rStyle w:val="ECHRParaChar"/>
          <w:lang w:val="fr-FR"/>
        </w:rPr>
        <w:t>.</w:t>
      </w:r>
      <w:r w:rsidR="00182005" w:rsidRPr="007F3E67">
        <w:rPr>
          <w:rStyle w:val="ECHRParaChar"/>
          <w:lang w:val="fr-FR"/>
        </w:rPr>
        <w:t>  </w:t>
      </w:r>
      <w:r w:rsidR="00E02E97" w:rsidRPr="007F3E67">
        <w:rPr>
          <w:rStyle w:val="ECHRParaChar"/>
          <w:lang w:val="fr-FR"/>
        </w:rPr>
        <w:t>La Cour rappelle également qu</w:t>
      </w:r>
      <w:r w:rsidR="007F3E67" w:rsidRPr="007F3E67">
        <w:rPr>
          <w:rStyle w:val="ECHRParaChar"/>
          <w:lang w:val="fr-FR"/>
        </w:rPr>
        <w:t>’</w:t>
      </w:r>
      <w:r w:rsidR="00E02E97" w:rsidRPr="007F3E67">
        <w:rPr>
          <w:rStyle w:val="ECHRParaChar"/>
          <w:lang w:val="fr-FR"/>
        </w:rPr>
        <w:t>elle doit appliquer la règle de l</w:t>
      </w:r>
      <w:r w:rsidR="007F3E67" w:rsidRPr="007F3E67">
        <w:rPr>
          <w:rStyle w:val="ECHRParaChar"/>
          <w:lang w:val="fr-FR"/>
        </w:rPr>
        <w:t>’</w:t>
      </w:r>
      <w:r w:rsidR="00E02E97" w:rsidRPr="007F3E67">
        <w:rPr>
          <w:rStyle w:val="ECHRParaChar"/>
          <w:lang w:val="fr-FR"/>
        </w:rPr>
        <w:t xml:space="preserve">épuisement des </w:t>
      </w:r>
      <w:r w:rsidR="00F0487A" w:rsidRPr="007F3E67">
        <w:rPr>
          <w:rStyle w:val="ECHRParaChar"/>
          <w:lang w:val="fr-FR"/>
        </w:rPr>
        <w:t xml:space="preserve">voies de </w:t>
      </w:r>
      <w:r w:rsidR="00E02E97" w:rsidRPr="007F3E67">
        <w:rPr>
          <w:rStyle w:val="ECHRParaChar"/>
          <w:lang w:val="fr-FR"/>
        </w:rPr>
        <w:t>recours internes en tenant dûment compte du contexte, en faisant preuve d</w:t>
      </w:r>
      <w:r w:rsidR="007F3E67" w:rsidRPr="007F3E67">
        <w:rPr>
          <w:rStyle w:val="ECHRParaChar"/>
          <w:lang w:val="fr-FR"/>
        </w:rPr>
        <w:t>’</w:t>
      </w:r>
      <w:r w:rsidR="00E02E97" w:rsidRPr="007F3E67">
        <w:rPr>
          <w:rStyle w:val="ECHRParaChar"/>
          <w:lang w:val="fr-FR"/>
        </w:rPr>
        <w:t>une certaine souplesse et sans formalisme excessif.</w:t>
      </w:r>
      <w:r w:rsidR="005018FB" w:rsidRPr="007F3E67">
        <w:rPr>
          <w:rStyle w:val="ECHRParaChar"/>
          <w:lang w:val="fr-FR"/>
        </w:rPr>
        <w:t xml:space="preserve"> Elle a de plus admis que la règle de l</w:t>
      </w:r>
      <w:r w:rsidR="007F3E67" w:rsidRPr="007F3E67">
        <w:rPr>
          <w:rStyle w:val="ECHRParaChar"/>
          <w:lang w:val="fr-FR"/>
        </w:rPr>
        <w:t>’</w:t>
      </w:r>
      <w:r w:rsidR="005018FB" w:rsidRPr="007F3E67">
        <w:rPr>
          <w:rStyle w:val="ECHRParaChar"/>
          <w:lang w:val="fr-FR"/>
        </w:rPr>
        <w:t>épuisement des voies de recours internes ne s</w:t>
      </w:r>
      <w:r w:rsidR="007F3E67" w:rsidRPr="007F3E67">
        <w:rPr>
          <w:rStyle w:val="ECHRParaChar"/>
          <w:lang w:val="fr-FR"/>
        </w:rPr>
        <w:t>’</w:t>
      </w:r>
      <w:r w:rsidR="005018FB" w:rsidRPr="007F3E67">
        <w:rPr>
          <w:rStyle w:val="ECHRParaChar"/>
          <w:lang w:val="fr-FR"/>
        </w:rPr>
        <w:t>accommode pas d</w:t>
      </w:r>
      <w:r w:rsidR="007F3E67" w:rsidRPr="007F3E67">
        <w:rPr>
          <w:rStyle w:val="ECHRParaChar"/>
          <w:lang w:val="fr-FR"/>
        </w:rPr>
        <w:t>’</w:t>
      </w:r>
      <w:r w:rsidR="005018FB" w:rsidRPr="007F3E67">
        <w:rPr>
          <w:rStyle w:val="ECHRParaChar"/>
          <w:lang w:val="fr-FR"/>
        </w:rPr>
        <w:t xml:space="preserve">une application automatique et ne revêt pas un caractère absolu ; pour en contrôler le respect, il faut avoir égard aux circonstances de la cause. Cela signifie notamment </w:t>
      </w:r>
      <w:r w:rsidR="00684EFA" w:rsidRPr="007F3E67">
        <w:rPr>
          <w:rStyle w:val="ECHRParaChar"/>
          <w:lang w:val="fr-FR"/>
        </w:rPr>
        <w:t>qu</w:t>
      </w:r>
      <w:r w:rsidR="007F3E67" w:rsidRPr="007F3E67">
        <w:rPr>
          <w:rStyle w:val="ECHRParaChar"/>
          <w:lang w:val="fr-FR"/>
        </w:rPr>
        <w:t>’</w:t>
      </w:r>
      <w:r w:rsidR="00684EFA" w:rsidRPr="007F3E67">
        <w:rPr>
          <w:rStyle w:val="ECHRParaChar"/>
          <w:lang w:val="fr-FR"/>
        </w:rPr>
        <w:t>elle</w:t>
      </w:r>
      <w:r w:rsidR="005018FB" w:rsidRPr="007F3E67">
        <w:rPr>
          <w:rStyle w:val="ECHRParaChar"/>
          <w:lang w:val="fr-FR"/>
        </w:rPr>
        <w:t xml:space="preserve"> doit tenir compte de manière réaliste du contexte juridique et politique dans lequel les recours s</w:t>
      </w:r>
      <w:r w:rsidR="007F3E67" w:rsidRPr="007F3E67">
        <w:rPr>
          <w:rStyle w:val="ECHRParaChar"/>
          <w:lang w:val="fr-FR"/>
        </w:rPr>
        <w:t>’</w:t>
      </w:r>
      <w:r w:rsidR="005018FB" w:rsidRPr="007F3E67">
        <w:rPr>
          <w:rStyle w:val="ECHRParaChar"/>
          <w:lang w:val="fr-FR"/>
        </w:rPr>
        <w:t>inscrivent ainsi que de la situation personnelle des requérants (voir, parmi beaucoup d</w:t>
      </w:r>
      <w:r w:rsidR="007F3E67" w:rsidRPr="007F3E67">
        <w:rPr>
          <w:rStyle w:val="ECHRParaChar"/>
          <w:lang w:val="fr-FR"/>
        </w:rPr>
        <w:t>’</w:t>
      </w:r>
      <w:r w:rsidR="005018FB" w:rsidRPr="007F3E67">
        <w:rPr>
          <w:rStyle w:val="ECHRParaChar"/>
          <w:lang w:val="fr-FR"/>
        </w:rPr>
        <w:t xml:space="preserve">autres, </w:t>
      </w:r>
      <w:r w:rsidR="005018FB" w:rsidRPr="007F3E67">
        <w:rPr>
          <w:rStyle w:val="ECHRParaChar"/>
          <w:i/>
          <w:lang w:val="fr-FR"/>
        </w:rPr>
        <w:t>Akdivar et autres</w:t>
      </w:r>
      <w:r w:rsidR="005018FB" w:rsidRPr="007F3E67">
        <w:rPr>
          <w:rStyle w:val="ECHRParaChar"/>
          <w:lang w:val="fr-FR"/>
        </w:rPr>
        <w:t xml:space="preserve">, précité, § 69, </w:t>
      </w:r>
      <w:r w:rsidR="00CA6B50" w:rsidRPr="007F3E67">
        <w:rPr>
          <w:rStyle w:val="ECHRParaChar"/>
          <w:i/>
          <w:lang w:val="fr-FR"/>
        </w:rPr>
        <w:t xml:space="preserve">Selmouni, </w:t>
      </w:r>
      <w:r w:rsidR="00CA6B50" w:rsidRPr="007F3E67">
        <w:rPr>
          <w:rStyle w:val="ECHRParaChar"/>
          <w:lang w:val="fr-FR"/>
        </w:rPr>
        <w:t xml:space="preserve">précité, </w:t>
      </w:r>
      <w:r w:rsidR="005018FB" w:rsidRPr="007F3E67">
        <w:rPr>
          <w:rStyle w:val="ECHRParaChar"/>
          <w:lang w:val="fr-FR"/>
        </w:rPr>
        <w:t xml:space="preserve">§ 77, </w:t>
      </w:r>
      <w:r w:rsidR="005018FB" w:rsidRPr="007F3E67">
        <w:rPr>
          <w:rStyle w:val="ECHRParaChar"/>
          <w:i/>
          <w:lang w:val="fr-FR"/>
        </w:rPr>
        <w:t>Kozacıoğlu c. Turquie</w:t>
      </w:r>
      <w:r w:rsidR="005018FB" w:rsidRPr="007F3E67">
        <w:rPr>
          <w:rStyle w:val="ECHRParaChar"/>
          <w:lang w:val="fr-FR"/>
        </w:rPr>
        <w:t xml:space="preserve"> [GC], n</w:t>
      </w:r>
      <w:r w:rsidR="00301040" w:rsidRPr="007F3E67">
        <w:rPr>
          <w:rStyle w:val="ECHRParaChar"/>
          <w:vertAlign w:val="superscript"/>
          <w:lang w:val="fr-FR"/>
        </w:rPr>
        <w:t>o</w:t>
      </w:r>
      <w:r w:rsidR="00AE7645" w:rsidRPr="007F3E67">
        <w:rPr>
          <w:rStyle w:val="ECHRParaChar"/>
          <w:lang w:val="fr-FR"/>
        </w:rPr>
        <w:t> </w:t>
      </w:r>
      <w:r w:rsidR="007F3E67" w:rsidRPr="007F3E67">
        <w:rPr>
          <w:rStyle w:val="ECHRParaChar"/>
          <w:lang w:val="fr-FR"/>
        </w:rPr>
        <w:t xml:space="preserve">2334/03, § 40, 19 février </w:t>
      </w:r>
      <w:r w:rsidR="005018FB" w:rsidRPr="007F3E67">
        <w:rPr>
          <w:rStyle w:val="ECHRParaChar"/>
          <w:lang w:val="fr-FR"/>
        </w:rPr>
        <w:t xml:space="preserve">2009, et </w:t>
      </w:r>
      <w:r w:rsidR="005018FB" w:rsidRPr="007F3E67">
        <w:rPr>
          <w:rStyle w:val="ECHRParaChar"/>
          <w:i/>
          <w:lang w:val="fr-FR"/>
        </w:rPr>
        <w:t>Reshetnyak c. Russie</w:t>
      </w:r>
      <w:r w:rsidR="005018FB" w:rsidRPr="007F3E67">
        <w:rPr>
          <w:rStyle w:val="ECHRParaChar"/>
          <w:lang w:val="fr-FR"/>
        </w:rPr>
        <w:t>, n</w:t>
      </w:r>
      <w:r w:rsidR="00301040" w:rsidRPr="007F3E67">
        <w:rPr>
          <w:rStyle w:val="ECHRParaChar"/>
          <w:vertAlign w:val="superscript"/>
          <w:lang w:val="fr-FR"/>
        </w:rPr>
        <w:t>o</w:t>
      </w:r>
      <w:r w:rsidR="005018FB" w:rsidRPr="007F3E67">
        <w:rPr>
          <w:rStyle w:val="ECHRParaChar"/>
          <w:lang w:val="fr-FR"/>
        </w:rPr>
        <w:t> 56027/10, § 58, 8 janvier 2013).</w:t>
      </w:r>
    </w:p>
    <w:p w:rsidR="005018FB" w:rsidRPr="007F3E67" w:rsidRDefault="00C925EB" w:rsidP="007F3E67">
      <w:pPr>
        <w:pStyle w:val="ECHRPara"/>
        <w:rPr>
          <w:lang w:val="fr-FR"/>
        </w:rPr>
      </w:pPr>
      <w:r w:rsidRPr="007F3E67">
        <w:rPr>
          <w:lang w:val="fr-FR"/>
        </w:rPr>
        <w:fldChar w:fldCharType="begin"/>
      </w:r>
      <w:r w:rsidRPr="007F3E67">
        <w:rPr>
          <w:lang w:val="fr-FR"/>
        </w:rPr>
        <w:instrText xml:space="preserve"> SEQ level0 \*arabic </w:instrText>
      </w:r>
      <w:r w:rsidRPr="007F3E67">
        <w:rPr>
          <w:lang w:val="fr-FR"/>
        </w:rPr>
        <w:fldChar w:fldCharType="separate"/>
      </w:r>
      <w:r w:rsidR="007F3E67" w:rsidRPr="007F3E67">
        <w:rPr>
          <w:noProof/>
          <w:lang w:val="fr-FR"/>
        </w:rPr>
        <w:t>115</w:t>
      </w:r>
      <w:r w:rsidRPr="007F3E67">
        <w:rPr>
          <w:lang w:val="fr-FR"/>
        </w:rPr>
        <w:fldChar w:fldCharType="end"/>
      </w:r>
      <w:r w:rsidRPr="007F3E67">
        <w:rPr>
          <w:lang w:val="fr-FR"/>
        </w:rPr>
        <w:t>.  </w:t>
      </w:r>
      <w:r w:rsidR="005018FB" w:rsidRPr="007F3E67">
        <w:rPr>
          <w:lang w:val="fr-FR"/>
        </w:rPr>
        <w:t>Dans son appréciation de l</w:t>
      </w:r>
      <w:r w:rsidR="007F3E67" w:rsidRPr="007F3E67">
        <w:rPr>
          <w:lang w:val="fr-FR"/>
        </w:rPr>
        <w:t>’</w:t>
      </w:r>
      <w:r w:rsidR="005018FB" w:rsidRPr="007F3E67">
        <w:rPr>
          <w:lang w:val="fr-FR"/>
        </w:rPr>
        <w:t xml:space="preserve">effectivité de la voie de recours indiquée par le </w:t>
      </w:r>
      <w:r w:rsidR="00F0487A" w:rsidRPr="007F3E67">
        <w:rPr>
          <w:lang w:val="fr-FR"/>
        </w:rPr>
        <w:t>g</w:t>
      </w:r>
      <w:r w:rsidR="005018FB" w:rsidRPr="007F3E67">
        <w:rPr>
          <w:lang w:val="fr-FR"/>
        </w:rPr>
        <w:t>ouvernement défendeur, la Cour doit donc prendre en compte la nature des griefs et les circonstances de l</w:t>
      </w:r>
      <w:r w:rsidR="007F3E67" w:rsidRPr="007F3E67">
        <w:rPr>
          <w:lang w:val="fr-FR"/>
        </w:rPr>
        <w:t>’</w:t>
      </w:r>
      <w:r w:rsidR="005018FB" w:rsidRPr="007F3E67">
        <w:rPr>
          <w:lang w:val="fr-FR"/>
        </w:rPr>
        <w:t>affaire pour établir si cette voie de recours fournissait au requérant un moyen adéquat de redressement de la violation dénoncée (</w:t>
      </w:r>
      <w:r w:rsidR="005018FB" w:rsidRPr="007F3E67">
        <w:rPr>
          <w:i/>
          <w:lang w:val="fr-FR"/>
        </w:rPr>
        <w:t>Reshetnyak</w:t>
      </w:r>
      <w:r w:rsidR="005018FB" w:rsidRPr="007F3E67">
        <w:rPr>
          <w:lang w:val="fr-FR"/>
        </w:rPr>
        <w:t>, précité, § 71, concernant le caractère inadéquat d</w:t>
      </w:r>
      <w:r w:rsidR="007F3E67" w:rsidRPr="007F3E67">
        <w:rPr>
          <w:lang w:val="fr-FR"/>
        </w:rPr>
        <w:t>’</w:t>
      </w:r>
      <w:r w:rsidR="005018FB" w:rsidRPr="007F3E67">
        <w:rPr>
          <w:lang w:val="fr-FR"/>
        </w:rPr>
        <w:t>un recours indemnitaire en cas de violation continue de l</w:t>
      </w:r>
      <w:r w:rsidR="007F3E67" w:rsidRPr="007F3E67">
        <w:rPr>
          <w:lang w:val="fr-FR"/>
        </w:rPr>
        <w:t>’</w:t>
      </w:r>
      <w:r w:rsidR="005018FB" w:rsidRPr="007F3E67">
        <w:rPr>
          <w:lang w:val="fr-FR"/>
        </w:rPr>
        <w:t>article</w:t>
      </w:r>
      <w:r w:rsidR="00A26B93" w:rsidRPr="007F3E67">
        <w:rPr>
          <w:lang w:val="fr-FR"/>
        </w:rPr>
        <w:t> </w:t>
      </w:r>
      <w:r w:rsidR="005018FB" w:rsidRPr="007F3E67">
        <w:rPr>
          <w:lang w:val="fr-FR"/>
        </w:rPr>
        <w:t xml:space="preserve">3 </w:t>
      </w:r>
      <w:r w:rsidR="00684EFA" w:rsidRPr="007F3E67">
        <w:rPr>
          <w:lang w:val="fr-FR"/>
        </w:rPr>
        <w:t xml:space="preserve">de la Convention </w:t>
      </w:r>
      <w:r w:rsidR="005018FB" w:rsidRPr="007F3E67">
        <w:rPr>
          <w:lang w:val="fr-FR"/>
        </w:rPr>
        <w:t xml:space="preserve">à raison des conditions de détention et, en particulier, </w:t>
      </w:r>
      <w:r w:rsidR="00684EFA" w:rsidRPr="007F3E67">
        <w:rPr>
          <w:lang w:val="fr-FR"/>
        </w:rPr>
        <w:t xml:space="preserve">de </w:t>
      </w:r>
      <w:r w:rsidR="005018FB" w:rsidRPr="007F3E67">
        <w:rPr>
          <w:lang w:val="fr-FR"/>
        </w:rPr>
        <w:t>l</w:t>
      </w:r>
      <w:r w:rsidR="007F3E67" w:rsidRPr="007F3E67">
        <w:rPr>
          <w:lang w:val="fr-FR"/>
        </w:rPr>
        <w:t>’</w:t>
      </w:r>
      <w:r w:rsidR="005018FB" w:rsidRPr="007F3E67">
        <w:rPr>
          <w:lang w:val="fr-FR"/>
        </w:rPr>
        <w:t>aggravation de l</w:t>
      </w:r>
      <w:r w:rsidR="007F3E67" w:rsidRPr="007F3E67">
        <w:rPr>
          <w:lang w:val="fr-FR"/>
        </w:rPr>
        <w:t>’</w:t>
      </w:r>
      <w:r w:rsidR="005018FB" w:rsidRPr="007F3E67">
        <w:rPr>
          <w:lang w:val="fr-FR"/>
        </w:rPr>
        <w:t>état de santé du détenu</w:t>
      </w:r>
      <w:r w:rsidR="00684EFA" w:rsidRPr="007F3E67">
        <w:rPr>
          <w:lang w:val="fr-FR"/>
        </w:rPr>
        <w:t>, et</w:t>
      </w:r>
      <w:r w:rsidR="005018FB" w:rsidRPr="007F3E67">
        <w:rPr>
          <w:lang w:val="fr-FR"/>
        </w:rPr>
        <w:t xml:space="preserve"> </w:t>
      </w:r>
      <w:r w:rsidR="007F3E67" w:rsidRPr="007F3E67">
        <w:rPr>
          <w:i/>
          <w:lang w:val="fr-FR"/>
        </w:rPr>
        <w:t xml:space="preserve">De </w:t>
      </w:r>
      <w:r w:rsidR="00AE7645" w:rsidRPr="007F3E67">
        <w:rPr>
          <w:i/>
          <w:lang w:val="fr-FR"/>
        </w:rPr>
        <w:t>Souza Ribeiro c. </w:t>
      </w:r>
      <w:r w:rsidR="005018FB" w:rsidRPr="007F3E67">
        <w:rPr>
          <w:i/>
          <w:lang w:val="fr-FR"/>
        </w:rPr>
        <w:t xml:space="preserve">France </w:t>
      </w:r>
      <w:r w:rsidR="005018FB" w:rsidRPr="007F3E67">
        <w:rPr>
          <w:lang w:val="fr-FR"/>
        </w:rPr>
        <w:t>[GC], n</w:t>
      </w:r>
      <w:r w:rsidR="005018FB" w:rsidRPr="007F3E67">
        <w:rPr>
          <w:vertAlign w:val="superscript"/>
          <w:lang w:val="fr-FR"/>
        </w:rPr>
        <w:t>o</w:t>
      </w:r>
      <w:r w:rsidR="005018FB" w:rsidRPr="007F3E67">
        <w:rPr>
          <w:lang w:val="fr-FR"/>
        </w:rPr>
        <w:t xml:space="preserve"> 22689/07, §§ 82-83,</w:t>
      </w:r>
      <w:r w:rsidR="005018FB" w:rsidRPr="007F3E67">
        <w:rPr>
          <w:snapToGrid w:val="0"/>
          <w:lang w:val="fr-FR"/>
        </w:rPr>
        <w:t xml:space="preserve"> </w:t>
      </w:r>
      <w:r w:rsidR="005018FB" w:rsidRPr="007F3E67">
        <w:rPr>
          <w:lang w:val="fr-FR"/>
        </w:rPr>
        <w:t>CEDH 2012, où la Cour a rappelé que l</w:t>
      </w:r>
      <w:r w:rsidR="007F3E67" w:rsidRPr="007F3E67">
        <w:rPr>
          <w:lang w:val="fr-FR"/>
        </w:rPr>
        <w:t>’</w:t>
      </w:r>
      <w:r w:rsidR="005018FB" w:rsidRPr="007F3E67">
        <w:rPr>
          <w:lang w:val="fr-FR"/>
        </w:rPr>
        <w:t>exigence d</w:t>
      </w:r>
      <w:r w:rsidR="007F3E67" w:rsidRPr="007F3E67">
        <w:rPr>
          <w:lang w:val="fr-FR"/>
        </w:rPr>
        <w:t>’</w:t>
      </w:r>
      <w:r w:rsidR="005018FB" w:rsidRPr="007F3E67">
        <w:rPr>
          <w:lang w:val="fr-FR"/>
        </w:rPr>
        <w:t>un recours de plein droit suspensif contre l</w:t>
      </w:r>
      <w:r w:rsidR="007F3E67" w:rsidRPr="007F3E67">
        <w:rPr>
          <w:lang w:val="fr-FR"/>
        </w:rPr>
        <w:t>’</w:t>
      </w:r>
      <w:r w:rsidR="005018FB" w:rsidRPr="007F3E67">
        <w:rPr>
          <w:lang w:val="fr-FR"/>
        </w:rPr>
        <w:t>expulsion de l</w:t>
      </w:r>
      <w:r w:rsidR="007F3E67" w:rsidRPr="007F3E67">
        <w:rPr>
          <w:lang w:val="fr-FR"/>
        </w:rPr>
        <w:t>’</w:t>
      </w:r>
      <w:r w:rsidR="005018FB" w:rsidRPr="007F3E67">
        <w:rPr>
          <w:lang w:val="fr-FR"/>
        </w:rPr>
        <w:t>intéressé dépendait de la nature de la violation de la Convention ou de ses Protocoles qu</w:t>
      </w:r>
      <w:r w:rsidR="007F3E67" w:rsidRPr="007F3E67">
        <w:rPr>
          <w:lang w:val="fr-FR"/>
        </w:rPr>
        <w:t>’</w:t>
      </w:r>
      <w:r w:rsidR="005018FB" w:rsidRPr="007F3E67">
        <w:rPr>
          <w:lang w:val="fr-FR"/>
        </w:rPr>
        <w:t>aurait entraînée l</w:t>
      </w:r>
      <w:r w:rsidR="007F3E67" w:rsidRPr="007F3E67">
        <w:rPr>
          <w:lang w:val="fr-FR"/>
        </w:rPr>
        <w:t>’</w:t>
      </w:r>
      <w:r w:rsidR="005018FB" w:rsidRPr="007F3E67">
        <w:rPr>
          <w:lang w:val="fr-FR"/>
        </w:rPr>
        <w:t>expulsion).</w:t>
      </w:r>
    </w:p>
    <w:p w:rsidR="005018FB" w:rsidRPr="007F3E67" w:rsidRDefault="005018FB" w:rsidP="007F3E67">
      <w:pPr>
        <w:pStyle w:val="ECHRPara"/>
        <w:rPr>
          <w:lang w:val="fr-FR"/>
        </w:rPr>
      </w:pPr>
      <w:r w:rsidRPr="007F3E67">
        <w:rPr>
          <w:lang w:val="fr-FR"/>
        </w:rPr>
        <w:fldChar w:fldCharType="begin"/>
      </w:r>
      <w:r w:rsidRPr="007F3E67">
        <w:rPr>
          <w:lang w:val="fr-FR"/>
        </w:rPr>
        <w:instrText xml:space="preserve"> SEQ level0 \*arabic </w:instrText>
      </w:r>
      <w:r w:rsidRPr="007F3E67">
        <w:rPr>
          <w:lang w:val="fr-FR"/>
        </w:rPr>
        <w:fldChar w:fldCharType="separate"/>
      </w:r>
      <w:r w:rsidR="007F3E67" w:rsidRPr="007F3E67">
        <w:rPr>
          <w:noProof/>
          <w:lang w:val="fr-FR"/>
        </w:rPr>
        <w:t>116</w:t>
      </w:r>
      <w:r w:rsidRPr="007F3E67">
        <w:rPr>
          <w:lang w:val="fr-FR"/>
        </w:rPr>
        <w:fldChar w:fldCharType="end"/>
      </w:r>
      <w:r w:rsidRPr="007F3E67">
        <w:rPr>
          <w:lang w:val="fr-FR"/>
        </w:rPr>
        <w:t>.  En l</w:t>
      </w:r>
      <w:r w:rsidR="007F3E67" w:rsidRPr="007F3E67">
        <w:rPr>
          <w:lang w:val="fr-FR"/>
        </w:rPr>
        <w:t>’</w:t>
      </w:r>
      <w:r w:rsidRPr="007F3E67">
        <w:rPr>
          <w:lang w:val="fr-FR"/>
        </w:rPr>
        <w:t xml:space="preserve">espèce, la Cour observe que, comme sur le terrain de la perte de la qualité de victime (paragraphes </w:t>
      </w:r>
      <w:r w:rsidR="0065107D" w:rsidRPr="007F3E67">
        <w:rPr>
          <w:lang w:val="fr-FR"/>
        </w:rPr>
        <w:fldChar w:fldCharType="begin"/>
      </w:r>
      <w:r w:rsidR="0065107D" w:rsidRPr="007F3E67">
        <w:rPr>
          <w:lang w:val="fr-FR"/>
        </w:rPr>
        <w:instrText xml:space="preserve"> REF qualité_victime \h </w:instrText>
      </w:r>
      <w:r w:rsidR="007E235C" w:rsidRPr="007F3E67">
        <w:rPr>
          <w:lang w:val="fr-FR"/>
        </w:rPr>
        <w:instrText xml:space="preserve"> \* MERGEFORMAT </w:instrText>
      </w:r>
      <w:r w:rsidR="0065107D" w:rsidRPr="007F3E67">
        <w:rPr>
          <w:lang w:val="fr-FR"/>
        </w:rPr>
      </w:r>
      <w:r w:rsidR="0065107D" w:rsidRPr="007F3E67">
        <w:rPr>
          <w:lang w:val="fr-FR"/>
        </w:rPr>
        <w:fldChar w:fldCharType="separate"/>
      </w:r>
      <w:r w:rsidR="007F3E67" w:rsidRPr="007F3E67">
        <w:rPr>
          <w:noProof/>
          <w:lang w:val="fr-FR"/>
        </w:rPr>
        <w:t>93</w:t>
      </w:r>
      <w:r w:rsidR="0065107D" w:rsidRPr="007F3E67">
        <w:rPr>
          <w:lang w:val="fr-FR"/>
        </w:rPr>
        <w:fldChar w:fldCharType="end"/>
      </w:r>
      <w:r w:rsidR="0065107D" w:rsidRPr="007F3E67">
        <w:rPr>
          <w:lang w:val="fr-FR"/>
        </w:rPr>
        <w:t>-</w:t>
      </w:r>
      <w:r w:rsidR="0065107D" w:rsidRPr="007F3E67">
        <w:rPr>
          <w:lang w:val="fr-FR"/>
        </w:rPr>
        <w:fldChar w:fldCharType="begin"/>
      </w:r>
      <w:r w:rsidR="0065107D" w:rsidRPr="007F3E67">
        <w:rPr>
          <w:lang w:val="fr-FR"/>
        </w:rPr>
        <w:instrText xml:space="preserve"> REF qualité_victime_FIN \h </w:instrText>
      </w:r>
      <w:r w:rsidR="007E235C" w:rsidRPr="007F3E67">
        <w:rPr>
          <w:lang w:val="fr-FR"/>
        </w:rPr>
        <w:instrText xml:space="preserve"> \* MERGEFORMAT </w:instrText>
      </w:r>
      <w:r w:rsidR="0065107D" w:rsidRPr="007F3E67">
        <w:rPr>
          <w:lang w:val="fr-FR"/>
        </w:rPr>
      </w:r>
      <w:r w:rsidR="0065107D" w:rsidRPr="007F3E67">
        <w:rPr>
          <w:lang w:val="fr-FR"/>
        </w:rPr>
        <w:fldChar w:fldCharType="separate"/>
      </w:r>
      <w:r w:rsidR="007F3E67" w:rsidRPr="007F3E67">
        <w:rPr>
          <w:noProof/>
          <w:lang w:val="fr-FR"/>
        </w:rPr>
        <w:t>98</w:t>
      </w:r>
      <w:r w:rsidR="0065107D" w:rsidRPr="007F3E67">
        <w:rPr>
          <w:lang w:val="fr-FR"/>
        </w:rPr>
        <w:fldChar w:fldCharType="end"/>
      </w:r>
      <w:r w:rsidRPr="007F3E67">
        <w:rPr>
          <w:lang w:val="fr-FR"/>
        </w:rPr>
        <w:t xml:space="preserve"> ci-dessus), les thèses des parties divergent </w:t>
      </w:r>
      <w:r w:rsidR="000F6649" w:rsidRPr="007F3E67">
        <w:rPr>
          <w:lang w:val="fr-FR"/>
        </w:rPr>
        <w:t>profondément</w:t>
      </w:r>
      <w:r w:rsidRPr="007F3E67">
        <w:rPr>
          <w:lang w:val="fr-FR"/>
        </w:rPr>
        <w:t xml:space="preserve"> quant à l</w:t>
      </w:r>
      <w:r w:rsidR="007F3E67" w:rsidRPr="007F3E67">
        <w:rPr>
          <w:lang w:val="fr-FR"/>
        </w:rPr>
        <w:t>’</w:t>
      </w:r>
      <w:r w:rsidRPr="007F3E67">
        <w:rPr>
          <w:lang w:val="fr-FR"/>
        </w:rPr>
        <w:t>étendue des obligations découlant de l</w:t>
      </w:r>
      <w:r w:rsidR="007F3E67" w:rsidRPr="007F3E67">
        <w:rPr>
          <w:lang w:val="fr-FR"/>
        </w:rPr>
        <w:t>’</w:t>
      </w:r>
      <w:r w:rsidRPr="007F3E67">
        <w:rPr>
          <w:lang w:val="fr-FR"/>
        </w:rPr>
        <w:t xml:space="preserve">article 3 de la Convention et </w:t>
      </w:r>
      <w:r w:rsidR="00A26B93" w:rsidRPr="007F3E67">
        <w:rPr>
          <w:lang w:val="fr-FR"/>
        </w:rPr>
        <w:t xml:space="preserve">quant </w:t>
      </w:r>
      <w:r w:rsidRPr="007F3E67">
        <w:rPr>
          <w:lang w:val="fr-FR"/>
        </w:rPr>
        <w:t>aux moyens nécessaires et suffisants pour redresser les violations en cause.</w:t>
      </w:r>
    </w:p>
    <w:bookmarkStart w:id="17" w:name="non_epuisement_voie_civile_fin"/>
    <w:p w:rsidR="000F6649" w:rsidRPr="007F3E67" w:rsidRDefault="00AE7645" w:rsidP="007F3E67">
      <w:pPr>
        <w:pStyle w:val="ECHRPara"/>
        <w:rPr>
          <w:lang w:val="fr-FR"/>
        </w:rPr>
      </w:pPr>
      <w:r w:rsidRPr="007F3E67">
        <w:rPr>
          <w:lang w:val="fr-FR"/>
        </w:rPr>
        <w:fldChar w:fldCharType="begin"/>
      </w:r>
      <w:r w:rsidRPr="007F3E67">
        <w:rPr>
          <w:lang w:val="fr-FR"/>
        </w:rPr>
        <w:instrText xml:space="preserve"> SEQ level0 \*arabic </w:instrText>
      </w:r>
      <w:r w:rsidRPr="007F3E67">
        <w:rPr>
          <w:lang w:val="fr-FR"/>
        </w:rPr>
        <w:fldChar w:fldCharType="separate"/>
      </w:r>
      <w:r w:rsidR="007F3E67" w:rsidRPr="007F3E67">
        <w:rPr>
          <w:noProof/>
          <w:lang w:val="fr-FR"/>
        </w:rPr>
        <w:t>117</w:t>
      </w:r>
      <w:r w:rsidRPr="007F3E67">
        <w:rPr>
          <w:lang w:val="fr-FR"/>
        </w:rPr>
        <w:fldChar w:fldCharType="end"/>
      </w:r>
      <w:bookmarkEnd w:id="17"/>
      <w:r w:rsidRPr="007F3E67">
        <w:rPr>
          <w:lang w:val="fr-FR"/>
        </w:rPr>
        <w:t>.  </w:t>
      </w:r>
      <w:r w:rsidR="005018FB" w:rsidRPr="007F3E67">
        <w:rPr>
          <w:lang w:val="fr-FR"/>
        </w:rPr>
        <w:t xml:space="preserve">Eu égard à sa décision de joindre au fond la question de la perte de la qualité de victime, </w:t>
      </w:r>
      <w:r w:rsidR="00684EFA" w:rsidRPr="007F3E67">
        <w:rPr>
          <w:lang w:val="fr-FR"/>
        </w:rPr>
        <w:t>elle</w:t>
      </w:r>
      <w:r w:rsidR="005018FB" w:rsidRPr="007F3E67">
        <w:rPr>
          <w:lang w:val="fr-FR"/>
        </w:rPr>
        <w:t xml:space="preserve"> estime qu</w:t>
      </w:r>
      <w:r w:rsidR="007F3E67" w:rsidRPr="007F3E67">
        <w:rPr>
          <w:lang w:val="fr-FR"/>
        </w:rPr>
        <w:t>’</w:t>
      </w:r>
      <w:r w:rsidR="005018FB" w:rsidRPr="007F3E67">
        <w:rPr>
          <w:lang w:val="fr-FR"/>
        </w:rPr>
        <w:t>il</w:t>
      </w:r>
      <w:r w:rsidR="001C21AD" w:rsidRPr="007F3E67">
        <w:rPr>
          <w:lang w:val="fr-FR"/>
        </w:rPr>
        <w:t xml:space="preserve"> doit en aller de même </w:t>
      </w:r>
      <w:r w:rsidR="00F0487A" w:rsidRPr="007F3E67">
        <w:rPr>
          <w:lang w:val="fr-FR"/>
        </w:rPr>
        <w:t>pour</w:t>
      </w:r>
      <w:r w:rsidR="005018FB" w:rsidRPr="007F3E67">
        <w:rPr>
          <w:lang w:val="fr-FR"/>
        </w:rPr>
        <w:t xml:space="preserve"> l</w:t>
      </w:r>
      <w:r w:rsidR="007F3E67" w:rsidRPr="007F3E67">
        <w:rPr>
          <w:lang w:val="fr-FR"/>
        </w:rPr>
        <w:t>’</w:t>
      </w:r>
      <w:r w:rsidR="005018FB" w:rsidRPr="007F3E67">
        <w:rPr>
          <w:lang w:val="fr-FR"/>
        </w:rPr>
        <w:t>exception de non-épuisement de</w:t>
      </w:r>
      <w:r w:rsidR="001C21AD" w:rsidRPr="007F3E67">
        <w:rPr>
          <w:lang w:val="fr-FR"/>
        </w:rPr>
        <w:t xml:space="preserve"> la voie de recours en matière civile</w:t>
      </w:r>
      <w:r w:rsidR="000F6649" w:rsidRPr="007F3E67">
        <w:rPr>
          <w:lang w:val="fr-FR"/>
        </w:rPr>
        <w:t>.</w:t>
      </w:r>
    </w:p>
    <w:p w:rsidR="00327BA1" w:rsidRPr="007F3E67" w:rsidRDefault="00FA14C8" w:rsidP="007F3E67">
      <w:pPr>
        <w:pStyle w:val="ECHRHeading4"/>
        <w:rPr>
          <w:lang w:val="fr-FR"/>
        </w:rPr>
      </w:pPr>
      <w:r w:rsidRPr="007F3E67">
        <w:rPr>
          <w:lang w:val="fr-FR"/>
        </w:rPr>
        <w:t>d</w:t>
      </w:r>
      <w:r w:rsidR="00327BA1" w:rsidRPr="007F3E67">
        <w:rPr>
          <w:lang w:val="fr-FR"/>
        </w:rPr>
        <w:t>)</w:t>
      </w:r>
      <w:r w:rsidR="005670AC" w:rsidRPr="007F3E67">
        <w:rPr>
          <w:lang w:val="fr-FR"/>
        </w:rPr>
        <w:t>  </w:t>
      </w:r>
      <w:r w:rsidR="00327BA1" w:rsidRPr="007F3E67">
        <w:rPr>
          <w:lang w:val="fr-FR"/>
        </w:rPr>
        <w:t>Autres motifs d</w:t>
      </w:r>
      <w:r w:rsidR="007F3E67" w:rsidRPr="007F3E67">
        <w:rPr>
          <w:lang w:val="fr-FR"/>
        </w:rPr>
        <w:t>’</w:t>
      </w:r>
      <w:r w:rsidR="00327BA1" w:rsidRPr="007F3E67">
        <w:rPr>
          <w:lang w:val="fr-FR"/>
        </w:rPr>
        <w:t>irrecevabilité</w:t>
      </w:r>
    </w:p>
    <w:p w:rsidR="00327BA1" w:rsidRPr="007F3E67" w:rsidRDefault="00327BA1" w:rsidP="007F3E67">
      <w:pPr>
        <w:pStyle w:val="ECHRPara"/>
        <w:rPr>
          <w:lang w:val="fr-FR"/>
        </w:rPr>
      </w:pPr>
      <w:r w:rsidRPr="007F3E67">
        <w:rPr>
          <w:lang w:val="fr-FR"/>
        </w:rPr>
        <w:fldChar w:fldCharType="begin"/>
      </w:r>
      <w:r w:rsidRPr="007F3E67">
        <w:rPr>
          <w:lang w:val="fr-FR"/>
        </w:rPr>
        <w:instrText xml:space="preserve"> SEQ level0 \*arabic </w:instrText>
      </w:r>
      <w:r w:rsidRPr="007F3E67">
        <w:rPr>
          <w:lang w:val="fr-FR"/>
        </w:rPr>
        <w:fldChar w:fldCharType="separate"/>
      </w:r>
      <w:r w:rsidR="007F3E67" w:rsidRPr="007F3E67">
        <w:rPr>
          <w:noProof/>
          <w:lang w:val="fr-FR"/>
        </w:rPr>
        <w:t>118</w:t>
      </w:r>
      <w:r w:rsidRPr="007F3E67">
        <w:rPr>
          <w:lang w:val="fr-FR"/>
        </w:rPr>
        <w:fldChar w:fldCharType="end"/>
      </w:r>
      <w:r w:rsidRPr="007F3E67">
        <w:rPr>
          <w:lang w:val="fr-FR"/>
        </w:rPr>
        <w:t>.  Constatant que ce grief n</w:t>
      </w:r>
      <w:r w:rsidR="007F3E67" w:rsidRPr="007F3E67">
        <w:rPr>
          <w:lang w:val="fr-FR"/>
        </w:rPr>
        <w:t>’</w:t>
      </w:r>
      <w:r w:rsidRPr="007F3E67">
        <w:rPr>
          <w:lang w:val="fr-FR"/>
        </w:rPr>
        <w:t>est pas manifestement mal fondé au sens de l</w:t>
      </w:r>
      <w:r w:rsidR="007F3E67" w:rsidRPr="007F3E67">
        <w:rPr>
          <w:lang w:val="fr-FR"/>
        </w:rPr>
        <w:t>’</w:t>
      </w:r>
      <w:r w:rsidRPr="007F3E67">
        <w:rPr>
          <w:lang w:val="fr-FR"/>
        </w:rPr>
        <w:t>article 35 § 3 a) de la Convention et qu</w:t>
      </w:r>
      <w:r w:rsidR="007F3E67" w:rsidRPr="007F3E67">
        <w:rPr>
          <w:lang w:val="fr-FR"/>
        </w:rPr>
        <w:t>’</w:t>
      </w:r>
      <w:r w:rsidRPr="007F3E67">
        <w:rPr>
          <w:lang w:val="fr-FR"/>
        </w:rPr>
        <w:t>il ne se heurte par ailleurs à aucun autre motif d</w:t>
      </w:r>
      <w:r w:rsidR="007F3E67" w:rsidRPr="007F3E67">
        <w:rPr>
          <w:lang w:val="fr-FR"/>
        </w:rPr>
        <w:t>’</w:t>
      </w:r>
      <w:r w:rsidRPr="007F3E67">
        <w:rPr>
          <w:lang w:val="fr-FR"/>
        </w:rPr>
        <w:t>irrecevabilité, la Cour le déclare recevable.</w:t>
      </w:r>
    </w:p>
    <w:p w:rsidR="00E77CB3" w:rsidRPr="007F3E67" w:rsidRDefault="00A97EF9" w:rsidP="007F3E67">
      <w:pPr>
        <w:pStyle w:val="ECHRHeading3"/>
        <w:rPr>
          <w:lang w:val="fr-FR"/>
        </w:rPr>
      </w:pPr>
      <w:r w:rsidRPr="007F3E67">
        <w:rPr>
          <w:lang w:val="fr-FR"/>
        </w:rPr>
        <w:t>3</w:t>
      </w:r>
      <w:r w:rsidR="00E77CB3" w:rsidRPr="007F3E67">
        <w:rPr>
          <w:lang w:val="fr-FR"/>
        </w:rPr>
        <w:t>.  Sur le fond</w:t>
      </w:r>
    </w:p>
    <w:p w:rsidR="00327BA1" w:rsidRPr="007F3E67" w:rsidRDefault="0043396B" w:rsidP="007F3E67">
      <w:pPr>
        <w:pStyle w:val="ECHRHeading4"/>
        <w:rPr>
          <w:lang w:val="fr-FR"/>
        </w:rPr>
      </w:pPr>
      <w:r w:rsidRPr="007F3E67">
        <w:rPr>
          <w:lang w:val="fr-FR"/>
        </w:rPr>
        <w:t>a</w:t>
      </w:r>
      <w:r w:rsidR="009235D3" w:rsidRPr="007F3E67">
        <w:rPr>
          <w:lang w:val="fr-FR"/>
        </w:rPr>
        <w:t>)</w:t>
      </w:r>
      <w:r w:rsidR="00327BA1" w:rsidRPr="007F3E67">
        <w:rPr>
          <w:lang w:val="fr-FR"/>
        </w:rPr>
        <w:t>  Sur le volet matériel de l</w:t>
      </w:r>
      <w:r w:rsidR="007F3E67" w:rsidRPr="007F3E67">
        <w:rPr>
          <w:lang w:val="fr-FR"/>
        </w:rPr>
        <w:t>’</w:t>
      </w:r>
      <w:r w:rsidR="00327BA1" w:rsidRPr="007F3E67">
        <w:rPr>
          <w:lang w:val="fr-FR"/>
        </w:rPr>
        <w:t>article 3 de la Convention</w:t>
      </w:r>
    </w:p>
    <w:p w:rsidR="00327BA1" w:rsidRPr="007F3E67" w:rsidRDefault="0043396B" w:rsidP="007F3E67">
      <w:pPr>
        <w:pStyle w:val="ECHRHeading5"/>
        <w:rPr>
          <w:lang w:val="fr-FR"/>
        </w:rPr>
      </w:pPr>
      <w:r w:rsidRPr="007F3E67">
        <w:rPr>
          <w:lang w:val="fr-FR"/>
        </w:rPr>
        <w:t>i.</w:t>
      </w:r>
      <w:r w:rsidR="00327BA1" w:rsidRPr="007F3E67">
        <w:rPr>
          <w:lang w:val="fr-FR"/>
        </w:rPr>
        <w:t>  Thèses des parties</w:t>
      </w:r>
    </w:p>
    <w:p w:rsidR="00327BA1" w:rsidRPr="007F3E67" w:rsidRDefault="009235D3" w:rsidP="007F3E67">
      <w:pPr>
        <w:pStyle w:val="ECHRHeading6"/>
        <w:rPr>
          <w:lang w:val="fr-FR"/>
        </w:rPr>
      </w:pPr>
      <w:r w:rsidRPr="007F3E67">
        <w:rPr>
          <w:rFonts w:cstheme="majorHAnsi"/>
          <w:lang w:val="fr-FR"/>
        </w:rPr>
        <w:t>α</w:t>
      </w:r>
      <w:r w:rsidRPr="007F3E67">
        <w:rPr>
          <w:lang w:val="fr-FR"/>
        </w:rPr>
        <w:t>)</w:t>
      </w:r>
      <w:r w:rsidR="00327BA1" w:rsidRPr="007F3E67">
        <w:rPr>
          <w:lang w:val="fr-FR"/>
        </w:rPr>
        <w:t>  Les requérants</w:t>
      </w:r>
    </w:p>
    <w:p w:rsidR="00C61748" w:rsidRPr="007F3E67" w:rsidRDefault="00327BA1" w:rsidP="007F3E67">
      <w:pPr>
        <w:pStyle w:val="ECHRPara"/>
        <w:rPr>
          <w:lang w:val="fr-FR"/>
        </w:rPr>
      </w:pPr>
      <w:r w:rsidRPr="007F3E67">
        <w:rPr>
          <w:lang w:val="fr-FR"/>
        </w:rPr>
        <w:fldChar w:fldCharType="begin"/>
      </w:r>
      <w:r w:rsidRPr="007F3E67">
        <w:rPr>
          <w:lang w:val="fr-FR"/>
        </w:rPr>
        <w:instrText xml:space="preserve"> SEQ level0 \*arabic </w:instrText>
      </w:r>
      <w:r w:rsidRPr="007F3E67">
        <w:rPr>
          <w:lang w:val="fr-FR"/>
        </w:rPr>
        <w:fldChar w:fldCharType="separate"/>
      </w:r>
      <w:r w:rsidR="007F3E67" w:rsidRPr="007F3E67">
        <w:rPr>
          <w:noProof/>
          <w:lang w:val="fr-FR"/>
        </w:rPr>
        <w:t>119</w:t>
      </w:r>
      <w:r w:rsidRPr="007F3E67">
        <w:rPr>
          <w:lang w:val="fr-FR"/>
        </w:rPr>
        <w:fldChar w:fldCharType="end"/>
      </w:r>
      <w:r w:rsidRPr="007F3E67">
        <w:rPr>
          <w:lang w:val="fr-FR"/>
        </w:rPr>
        <w:t>.  </w:t>
      </w:r>
      <w:r w:rsidR="00E235F1" w:rsidRPr="007F3E67">
        <w:rPr>
          <w:lang w:val="fr-FR"/>
        </w:rPr>
        <w:t>Les requérants</w:t>
      </w:r>
      <w:r w:rsidR="00177D47" w:rsidRPr="007F3E67">
        <w:rPr>
          <w:lang w:val="fr-FR"/>
        </w:rPr>
        <w:t xml:space="preserve">, arrêtés puis placés </w:t>
      </w:r>
      <w:r w:rsidR="00684EFA" w:rsidRPr="007F3E67">
        <w:rPr>
          <w:lang w:val="fr-FR"/>
        </w:rPr>
        <w:t>à</w:t>
      </w:r>
      <w:r w:rsidR="00177D47" w:rsidRPr="007F3E67">
        <w:rPr>
          <w:lang w:val="fr-FR"/>
        </w:rPr>
        <w:t xml:space="preserve"> la caserne de Bolzaneto,</w:t>
      </w:r>
      <w:r w:rsidR="00E77CB3" w:rsidRPr="007F3E67">
        <w:rPr>
          <w:lang w:val="fr-FR"/>
        </w:rPr>
        <w:t xml:space="preserve"> </w:t>
      </w:r>
      <w:r w:rsidR="001D12E7" w:rsidRPr="007F3E67">
        <w:rPr>
          <w:lang w:val="fr-FR"/>
        </w:rPr>
        <w:t xml:space="preserve">allèguent avoir été insultés, menacés, frappés et </w:t>
      </w:r>
      <w:r w:rsidR="00684EFA" w:rsidRPr="007F3E67">
        <w:rPr>
          <w:lang w:val="fr-FR"/>
        </w:rPr>
        <w:t xml:space="preserve">avoir </w:t>
      </w:r>
      <w:r w:rsidR="001D12E7" w:rsidRPr="007F3E67">
        <w:rPr>
          <w:lang w:val="fr-FR"/>
        </w:rPr>
        <w:t>fait l</w:t>
      </w:r>
      <w:r w:rsidR="007F3E67" w:rsidRPr="007F3E67">
        <w:rPr>
          <w:lang w:val="fr-FR"/>
        </w:rPr>
        <w:t>’</w:t>
      </w:r>
      <w:r w:rsidR="001D12E7" w:rsidRPr="007F3E67">
        <w:rPr>
          <w:lang w:val="fr-FR"/>
        </w:rPr>
        <w:t>objet d</w:t>
      </w:r>
      <w:r w:rsidR="007F3E67" w:rsidRPr="007F3E67">
        <w:rPr>
          <w:lang w:val="fr-FR"/>
        </w:rPr>
        <w:t>’</w:t>
      </w:r>
      <w:r w:rsidR="001D12E7" w:rsidRPr="007F3E67">
        <w:rPr>
          <w:lang w:val="fr-FR"/>
        </w:rPr>
        <w:t xml:space="preserve">autres </w:t>
      </w:r>
      <w:r w:rsidR="00B63917" w:rsidRPr="007F3E67">
        <w:rPr>
          <w:lang w:val="fr-FR"/>
        </w:rPr>
        <w:t xml:space="preserve">types de </w:t>
      </w:r>
      <w:r w:rsidR="001D12E7" w:rsidRPr="007F3E67">
        <w:rPr>
          <w:lang w:val="fr-FR"/>
        </w:rPr>
        <w:t xml:space="preserve">mauvais traitements </w:t>
      </w:r>
      <w:r w:rsidR="009F331B" w:rsidRPr="007F3E67">
        <w:rPr>
          <w:lang w:val="fr-FR"/>
        </w:rPr>
        <w:t>de la part d</w:t>
      </w:r>
      <w:r w:rsidR="00177D47" w:rsidRPr="007F3E67">
        <w:rPr>
          <w:lang w:val="fr-FR"/>
        </w:rPr>
        <w:t>e membres des</w:t>
      </w:r>
      <w:r w:rsidR="009F331B" w:rsidRPr="007F3E67">
        <w:rPr>
          <w:lang w:val="fr-FR"/>
        </w:rPr>
        <w:t xml:space="preserve"> forces de l</w:t>
      </w:r>
      <w:r w:rsidR="007F3E67" w:rsidRPr="007F3E67">
        <w:rPr>
          <w:lang w:val="fr-FR"/>
        </w:rPr>
        <w:t>’</w:t>
      </w:r>
      <w:r w:rsidR="009F331B" w:rsidRPr="007F3E67">
        <w:rPr>
          <w:lang w:val="fr-FR"/>
        </w:rPr>
        <w:t>ordre</w:t>
      </w:r>
      <w:r w:rsidR="00C61748" w:rsidRPr="007F3E67">
        <w:rPr>
          <w:lang w:val="fr-FR"/>
        </w:rPr>
        <w:t>.</w:t>
      </w:r>
      <w:r w:rsidR="00DA0299" w:rsidRPr="007F3E67">
        <w:rPr>
          <w:lang w:val="fr-FR"/>
        </w:rPr>
        <w:t xml:space="preserve"> </w:t>
      </w:r>
      <w:r w:rsidR="004E176A" w:rsidRPr="007F3E67">
        <w:rPr>
          <w:lang w:val="fr-FR"/>
        </w:rPr>
        <w:t>Ils déplorent les vives souffrances physiques et psychologiques que ces violences leur auraient causées.</w:t>
      </w:r>
    </w:p>
    <w:p w:rsidR="000F6649" w:rsidRPr="007F3E67" w:rsidRDefault="00FA5FDF" w:rsidP="007F3E67">
      <w:pPr>
        <w:pStyle w:val="ECHRPara"/>
        <w:rPr>
          <w:lang w:val="fr-FR"/>
        </w:rPr>
      </w:pPr>
      <w:r w:rsidRPr="007F3E67">
        <w:rPr>
          <w:lang w:val="fr-FR"/>
        </w:rPr>
        <w:fldChar w:fldCharType="begin"/>
      </w:r>
      <w:r w:rsidRPr="007F3E67">
        <w:rPr>
          <w:lang w:val="fr-FR"/>
        </w:rPr>
        <w:instrText xml:space="preserve"> SEQ level0 \*arabic </w:instrText>
      </w:r>
      <w:r w:rsidRPr="007F3E67">
        <w:rPr>
          <w:lang w:val="fr-FR"/>
        </w:rPr>
        <w:fldChar w:fldCharType="separate"/>
      </w:r>
      <w:r w:rsidR="007F3E67" w:rsidRPr="007F3E67">
        <w:rPr>
          <w:noProof/>
          <w:lang w:val="fr-FR"/>
        </w:rPr>
        <w:t>120</w:t>
      </w:r>
      <w:r w:rsidRPr="007F3E67">
        <w:rPr>
          <w:lang w:val="fr-FR"/>
        </w:rPr>
        <w:fldChar w:fldCharType="end"/>
      </w:r>
      <w:r w:rsidRPr="007F3E67">
        <w:rPr>
          <w:lang w:val="fr-FR"/>
        </w:rPr>
        <w:t>.  </w:t>
      </w:r>
      <w:r w:rsidR="00684EFA" w:rsidRPr="007F3E67">
        <w:rPr>
          <w:lang w:val="fr-FR"/>
        </w:rPr>
        <w:t xml:space="preserve">Les requérants </w:t>
      </w:r>
      <w:r w:rsidR="00C61748" w:rsidRPr="007F3E67">
        <w:rPr>
          <w:lang w:val="fr-FR"/>
        </w:rPr>
        <w:t>dénoncent également l</w:t>
      </w:r>
      <w:r w:rsidR="007F3E67" w:rsidRPr="007F3E67">
        <w:rPr>
          <w:lang w:val="fr-FR"/>
        </w:rPr>
        <w:t>’</w:t>
      </w:r>
      <w:r w:rsidR="00C61748" w:rsidRPr="007F3E67">
        <w:rPr>
          <w:lang w:val="fr-FR"/>
        </w:rPr>
        <w:t xml:space="preserve">impossibilité </w:t>
      </w:r>
      <w:r w:rsidR="0010487D" w:rsidRPr="007F3E67">
        <w:rPr>
          <w:lang w:val="fr-FR"/>
        </w:rPr>
        <w:t xml:space="preserve">pour eux </w:t>
      </w:r>
      <w:r w:rsidR="00C61748" w:rsidRPr="007F3E67">
        <w:rPr>
          <w:lang w:val="fr-FR"/>
        </w:rPr>
        <w:t xml:space="preserve">de </w:t>
      </w:r>
      <w:r w:rsidR="004E176A" w:rsidRPr="007F3E67">
        <w:rPr>
          <w:lang w:val="fr-FR"/>
        </w:rPr>
        <w:t xml:space="preserve">prendre </w:t>
      </w:r>
      <w:r w:rsidR="00C61748" w:rsidRPr="007F3E67">
        <w:rPr>
          <w:lang w:val="fr-FR"/>
        </w:rPr>
        <w:t>contact</w:t>
      </w:r>
      <w:r w:rsidR="004E176A" w:rsidRPr="007F3E67">
        <w:rPr>
          <w:lang w:val="fr-FR"/>
        </w:rPr>
        <w:t xml:space="preserve"> avec</w:t>
      </w:r>
      <w:r w:rsidR="00C61748" w:rsidRPr="007F3E67">
        <w:rPr>
          <w:lang w:val="fr-FR"/>
        </w:rPr>
        <w:t xml:space="preserve"> un proche, un avocat ou, le cas échéant, un représentant consulaire, ainsi que l</w:t>
      </w:r>
      <w:r w:rsidR="007F3E67" w:rsidRPr="007F3E67">
        <w:rPr>
          <w:lang w:val="fr-FR"/>
        </w:rPr>
        <w:t>’</w:t>
      </w:r>
      <w:r w:rsidR="00C61748" w:rsidRPr="007F3E67">
        <w:rPr>
          <w:lang w:val="fr-FR"/>
        </w:rPr>
        <w:t xml:space="preserve">absence </w:t>
      </w:r>
      <w:r w:rsidR="0010487D" w:rsidRPr="007F3E67">
        <w:rPr>
          <w:lang w:val="fr-FR"/>
        </w:rPr>
        <w:t xml:space="preserve">de </w:t>
      </w:r>
      <w:r w:rsidR="00C61748" w:rsidRPr="007F3E67">
        <w:rPr>
          <w:lang w:val="fr-FR"/>
        </w:rPr>
        <w:t xml:space="preserve">prise en charge médicale </w:t>
      </w:r>
      <w:r w:rsidR="0010487D" w:rsidRPr="007F3E67">
        <w:rPr>
          <w:lang w:val="fr-FR"/>
        </w:rPr>
        <w:t xml:space="preserve">adaptée </w:t>
      </w:r>
      <w:r w:rsidR="00C61748" w:rsidRPr="007F3E67">
        <w:rPr>
          <w:lang w:val="fr-FR"/>
        </w:rPr>
        <w:t>à leur</w:t>
      </w:r>
      <w:r w:rsidR="00FF4DD3" w:rsidRPr="007F3E67">
        <w:rPr>
          <w:lang w:val="fr-FR"/>
        </w:rPr>
        <w:t xml:space="preserve"> état</w:t>
      </w:r>
      <w:r w:rsidRPr="007F3E67">
        <w:rPr>
          <w:lang w:val="fr-FR"/>
        </w:rPr>
        <w:t xml:space="preserve"> de santé</w:t>
      </w:r>
      <w:r w:rsidR="00C61748" w:rsidRPr="007F3E67">
        <w:rPr>
          <w:lang w:val="fr-FR"/>
        </w:rPr>
        <w:t xml:space="preserve">, les visites médicales auxquelles ils </w:t>
      </w:r>
      <w:r w:rsidR="00FF4DD3" w:rsidRPr="007F3E67">
        <w:rPr>
          <w:lang w:val="fr-FR"/>
        </w:rPr>
        <w:t>auraient été</w:t>
      </w:r>
      <w:r w:rsidR="00C61748" w:rsidRPr="007F3E67">
        <w:rPr>
          <w:lang w:val="fr-FR"/>
        </w:rPr>
        <w:t xml:space="preserve"> soumis étant </w:t>
      </w:r>
      <w:r w:rsidR="0010487D" w:rsidRPr="007F3E67">
        <w:rPr>
          <w:lang w:val="fr-FR"/>
        </w:rPr>
        <w:t xml:space="preserve">selon eux </w:t>
      </w:r>
      <w:r w:rsidR="00C61748" w:rsidRPr="007F3E67">
        <w:rPr>
          <w:lang w:val="fr-FR"/>
        </w:rPr>
        <w:t xml:space="preserve">superficielles, souvent humiliantes et réalisées en présence </w:t>
      </w:r>
      <w:r w:rsidR="0010487D" w:rsidRPr="007F3E67">
        <w:rPr>
          <w:lang w:val="fr-FR"/>
        </w:rPr>
        <w:t>d</w:t>
      </w:r>
      <w:r w:rsidR="007F3E67" w:rsidRPr="007F3E67">
        <w:rPr>
          <w:lang w:val="fr-FR"/>
        </w:rPr>
        <w:t>’</w:t>
      </w:r>
      <w:r w:rsidR="0010487D" w:rsidRPr="007F3E67">
        <w:rPr>
          <w:lang w:val="fr-FR"/>
        </w:rPr>
        <w:t>agents des</w:t>
      </w:r>
      <w:r w:rsidR="00C61748" w:rsidRPr="007F3E67">
        <w:rPr>
          <w:lang w:val="fr-FR"/>
        </w:rPr>
        <w:t xml:space="preserve"> force</w:t>
      </w:r>
      <w:r w:rsidR="001971A5" w:rsidRPr="007F3E67">
        <w:rPr>
          <w:lang w:val="fr-FR"/>
        </w:rPr>
        <w:t>s</w:t>
      </w:r>
      <w:r w:rsidR="00C61748" w:rsidRPr="007F3E67">
        <w:rPr>
          <w:lang w:val="fr-FR"/>
        </w:rPr>
        <w:t xml:space="preserve"> de l</w:t>
      </w:r>
      <w:r w:rsidR="007F3E67" w:rsidRPr="007F3E67">
        <w:rPr>
          <w:lang w:val="fr-FR"/>
        </w:rPr>
        <w:t>’</w:t>
      </w:r>
      <w:r w:rsidR="00C61748" w:rsidRPr="007F3E67">
        <w:rPr>
          <w:lang w:val="fr-FR"/>
        </w:rPr>
        <w:t xml:space="preserve">ordre </w:t>
      </w:r>
      <w:r w:rsidR="00DA0299" w:rsidRPr="007F3E67">
        <w:rPr>
          <w:lang w:val="fr-FR"/>
        </w:rPr>
        <w:t>(paragraphe</w:t>
      </w:r>
      <w:r w:rsidR="0010487D" w:rsidRPr="007F3E67">
        <w:rPr>
          <w:lang w:val="fr-FR"/>
        </w:rPr>
        <w:t>s</w:t>
      </w:r>
      <w:r w:rsidR="00DA0299" w:rsidRPr="007F3E67">
        <w:rPr>
          <w:lang w:val="fr-FR"/>
        </w:rPr>
        <w:t xml:space="preserve"> </w:t>
      </w:r>
      <w:r w:rsidR="00DA0299" w:rsidRPr="007F3E67">
        <w:rPr>
          <w:lang w:val="fr-FR"/>
        </w:rPr>
        <w:fldChar w:fldCharType="begin"/>
      </w:r>
      <w:r w:rsidR="00DA0299" w:rsidRPr="007F3E67">
        <w:rPr>
          <w:lang w:val="fr-FR"/>
        </w:rPr>
        <w:instrText xml:space="preserve"> REF Reconstruction_FAITS \h </w:instrText>
      </w:r>
      <w:r w:rsidR="007E235C" w:rsidRPr="007F3E67">
        <w:rPr>
          <w:lang w:val="fr-FR"/>
        </w:rPr>
        <w:instrText xml:space="preserve"> \* MERGEFORMAT </w:instrText>
      </w:r>
      <w:r w:rsidR="00DA0299" w:rsidRPr="007F3E67">
        <w:rPr>
          <w:lang w:val="fr-FR"/>
        </w:rPr>
      </w:r>
      <w:r w:rsidR="00DA0299" w:rsidRPr="007F3E67">
        <w:rPr>
          <w:lang w:val="fr-FR"/>
        </w:rPr>
        <w:fldChar w:fldCharType="separate"/>
      </w:r>
      <w:r w:rsidR="007F3E67" w:rsidRPr="007F3E67">
        <w:rPr>
          <w:noProof/>
          <w:lang w:val="fr-FR"/>
        </w:rPr>
        <w:t>18</w:t>
      </w:r>
      <w:r w:rsidR="00DA0299" w:rsidRPr="007F3E67">
        <w:rPr>
          <w:lang w:val="fr-FR"/>
        </w:rPr>
        <w:fldChar w:fldCharType="end"/>
      </w:r>
      <w:r w:rsidR="00DA0299" w:rsidRPr="007F3E67">
        <w:rPr>
          <w:lang w:val="fr-FR"/>
        </w:rPr>
        <w:t>-</w:t>
      </w:r>
      <w:r w:rsidR="00DA0299" w:rsidRPr="007F3E67">
        <w:rPr>
          <w:lang w:val="fr-FR"/>
        </w:rPr>
        <w:fldChar w:fldCharType="begin"/>
      </w:r>
      <w:r w:rsidR="00DA0299" w:rsidRPr="007F3E67">
        <w:rPr>
          <w:lang w:val="fr-FR"/>
        </w:rPr>
        <w:instrText xml:space="preserve"> REF Reconstruction_FAITS_FIN \h </w:instrText>
      </w:r>
      <w:r w:rsidR="007E235C" w:rsidRPr="007F3E67">
        <w:rPr>
          <w:lang w:val="fr-FR"/>
        </w:rPr>
        <w:instrText xml:space="preserve"> \* MERGEFORMAT </w:instrText>
      </w:r>
      <w:r w:rsidR="00DA0299" w:rsidRPr="007F3E67">
        <w:rPr>
          <w:lang w:val="fr-FR"/>
        </w:rPr>
      </w:r>
      <w:r w:rsidR="00DA0299" w:rsidRPr="007F3E67">
        <w:rPr>
          <w:lang w:val="fr-FR"/>
        </w:rPr>
        <w:fldChar w:fldCharType="separate"/>
      </w:r>
      <w:r w:rsidR="007F3E67" w:rsidRPr="007F3E67">
        <w:rPr>
          <w:noProof/>
          <w:lang w:val="fr-FR"/>
        </w:rPr>
        <w:t>50</w:t>
      </w:r>
      <w:r w:rsidR="00DA0299" w:rsidRPr="007F3E67">
        <w:rPr>
          <w:lang w:val="fr-FR"/>
        </w:rPr>
        <w:fldChar w:fldCharType="end"/>
      </w:r>
      <w:r w:rsidR="00DA0299" w:rsidRPr="007F3E67">
        <w:rPr>
          <w:lang w:val="fr-FR"/>
        </w:rPr>
        <w:t xml:space="preserve">). </w:t>
      </w:r>
      <w:r w:rsidR="00182005" w:rsidRPr="007F3E67">
        <w:rPr>
          <w:lang w:val="fr-FR"/>
        </w:rPr>
        <w:t>Par ailleurs,</w:t>
      </w:r>
      <w:r w:rsidR="000940D8" w:rsidRPr="007F3E67">
        <w:rPr>
          <w:lang w:val="fr-FR"/>
        </w:rPr>
        <w:t xml:space="preserve"> les requérants de la requête n</w:t>
      </w:r>
      <w:r w:rsidR="00301040" w:rsidRPr="007F3E67">
        <w:rPr>
          <w:vertAlign w:val="superscript"/>
          <w:lang w:val="fr-FR"/>
        </w:rPr>
        <w:t>o</w:t>
      </w:r>
      <w:r w:rsidR="000940D8" w:rsidRPr="007F3E67">
        <w:rPr>
          <w:lang w:val="fr-FR"/>
        </w:rPr>
        <w:t xml:space="preserve"> 67599/10 co</w:t>
      </w:r>
      <w:r w:rsidR="00182005" w:rsidRPr="007F3E67">
        <w:rPr>
          <w:lang w:val="fr-FR"/>
        </w:rPr>
        <w:t xml:space="preserve">nsidèrent </w:t>
      </w:r>
      <w:r w:rsidR="0010487D" w:rsidRPr="007F3E67">
        <w:rPr>
          <w:lang w:val="fr-FR"/>
        </w:rPr>
        <w:t xml:space="preserve">comme étant </w:t>
      </w:r>
      <w:r w:rsidR="00182005" w:rsidRPr="007F3E67">
        <w:rPr>
          <w:lang w:val="fr-FR"/>
        </w:rPr>
        <w:t>encore plus grave le</w:t>
      </w:r>
      <w:r w:rsidR="000940D8" w:rsidRPr="007F3E67">
        <w:rPr>
          <w:lang w:val="fr-FR"/>
        </w:rPr>
        <w:t xml:space="preserve"> comportement des médecins de l</w:t>
      </w:r>
      <w:r w:rsidR="007F3E67" w:rsidRPr="007F3E67">
        <w:rPr>
          <w:lang w:val="fr-FR"/>
        </w:rPr>
        <w:t>’</w:t>
      </w:r>
      <w:r w:rsidR="000940D8" w:rsidRPr="007F3E67">
        <w:rPr>
          <w:lang w:val="fr-FR"/>
        </w:rPr>
        <w:t>administration pénitentiaire</w:t>
      </w:r>
      <w:r w:rsidR="0010487D" w:rsidRPr="007F3E67">
        <w:rPr>
          <w:lang w:val="fr-FR"/>
        </w:rPr>
        <w:t>, ceux</w:t>
      </w:r>
      <w:r w:rsidR="00F0487A" w:rsidRPr="007F3E67">
        <w:rPr>
          <w:lang w:val="fr-FR"/>
        </w:rPr>
        <w:t>–</w:t>
      </w:r>
      <w:r w:rsidR="0010487D" w:rsidRPr="007F3E67">
        <w:rPr>
          <w:lang w:val="fr-FR"/>
        </w:rPr>
        <w:t>ci</w:t>
      </w:r>
      <w:r w:rsidR="00182005" w:rsidRPr="007F3E67">
        <w:rPr>
          <w:lang w:val="fr-FR"/>
        </w:rPr>
        <w:t xml:space="preserve"> </w:t>
      </w:r>
      <w:r w:rsidR="0010487D" w:rsidRPr="007F3E67">
        <w:rPr>
          <w:lang w:val="fr-FR"/>
        </w:rPr>
        <w:t>ayant selon eux</w:t>
      </w:r>
      <w:r w:rsidR="00182005" w:rsidRPr="007F3E67">
        <w:rPr>
          <w:lang w:val="fr-FR"/>
        </w:rPr>
        <w:t xml:space="preserve"> contrevenu à</w:t>
      </w:r>
      <w:r w:rsidR="00D22500" w:rsidRPr="007F3E67">
        <w:rPr>
          <w:lang w:val="fr-FR"/>
        </w:rPr>
        <w:t xml:space="preserve"> leur devoir</w:t>
      </w:r>
      <w:r w:rsidR="00182005" w:rsidRPr="007F3E67">
        <w:rPr>
          <w:lang w:val="fr-FR"/>
        </w:rPr>
        <w:t xml:space="preserve"> professionnel</w:t>
      </w:r>
      <w:r w:rsidR="00D22500" w:rsidRPr="007F3E67">
        <w:rPr>
          <w:lang w:val="fr-FR"/>
        </w:rPr>
        <w:t xml:space="preserve"> de porter assistance </w:t>
      </w:r>
      <w:r w:rsidR="009D6A74" w:rsidRPr="007F3E67">
        <w:rPr>
          <w:lang w:val="fr-FR"/>
        </w:rPr>
        <w:t>et de</w:t>
      </w:r>
      <w:r w:rsidR="00D22500" w:rsidRPr="007F3E67">
        <w:rPr>
          <w:lang w:val="fr-FR"/>
        </w:rPr>
        <w:t xml:space="preserve"> s</w:t>
      </w:r>
      <w:r w:rsidR="007F3E67" w:rsidRPr="007F3E67">
        <w:rPr>
          <w:lang w:val="fr-FR"/>
        </w:rPr>
        <w:t>’</w:t>
      </w:r>
      <w:r w:rsidR="00D22500" w:rsidRPr="007F3E67">
        <w:rPr>
          <w:lang w:val="fr-FR"/>
        </w:rPr>
        <w:t>assurer qu</w:t>
      </w:r>
      <w:r w:rsidR="009D6A74" w:rsidRPr="007F3E67">
        <w:rPr>
          <w:lang w:val="fr-FR"/>
        </w:rPr>
        <w:t>e chaque détenu</w:t>
      </w:r>
      <w:r w:rsidR="00D22500" w:rsidRPr="007F3E67">
        <w:rPr>
          <w:lang w:val="fr-FR"/>
        </w:rPr>
        <w:t xml:space="preserve"> reç</w:t>
      </w:r>
      <w:r w:rsidR="0010487D" w:rsidRPr="007F3E67">
        <w:rPr>
          <w:lang w:val="fr-FR"/>
        </w:rPr>
        <w:t>ût</w:t>
      </w:r>
      <w:r w:rsidR="00D22500" w:rsidRPr="007F3E67">
        <w:rPr>
          <w:lang w:val="fr-FR"/>
        </w:rPr>
        <w:t xml:space="preserve"> les soins nécessaires</w:t>
      </w:r>
      <w:r w:rsidR="009D6A74" w:rsidRPr="007F3E67">
        <w:rPr>
          <w:lang w:val="fr-FR"/>
        </w:rPr>
        <w:t>.</w:t>
      </w:r>
    </w:p>
    <w:p w:rsidR="00301040" w:rsidRPr="007F3E67" w:rsidRDefault="00D1681A" w:rsidP="007F3E67">
      <w:pPr>
        <w:pStyle w:val="ECHRPara"/>
        <w:rPr>
          <w:lang w:val="fr-FR"/>
        </w:rPr>
      </w:pPr>
      <w:r w:rsidRPr="007F3E67">
        <w:rPr>
          <w:lang w:val="fr-FR"/>
        </w:rPr>
        <w:fldChar w:fldCharType="begin"/>
      </w:r>
      <w:r w:rsidRPr="007F3E67">
        <w:rPr>
          <w:lang w:val="fr-FR"/>
        </w:rPr>
        <w:instrText xml:space="preserve"> SEQ level0 \*arabic </w:instrText>
      </w:r>
      <w:r w:rsidRPr="007F3E67">
        <w:rPr>
          <w:lang w:val="fr-FR"/>
        </w:rPr>
        <w:fldChar w:fldCharType="separate"/>
      </w:r>
      <w:r w:rsidR="007F3E67" w:rsidRPr="007F3E67">
        <w:rPr>
          <w:noProof/>
          <w:lang w:val="fr-FR"/>
        </w:rPr>
        <w:t>121</w:t>
      </w:r>
      <w:r w:rsidRPr="007F3E67">
        <w:rPr>
          <w:lang w:val="fr-FR"/>
        </w:rPr>
        <w:fldChar w:fldCharType="end"/>
      </w:r>
      <w:r w:rsidRPr="007F3E67">
        <w:rPr>
          <w:lang w:val="fr-FR"/>
        </w:rPr>
        <w:t>.  </w:t>
      </w:r>
      <w:r w:rsidR="0027633E" w:rsidRPr="007F3E67">
        <w:rPr>
          <w:lang w:val="fr-FR"/>
        </w:rPr>
        <w:t>Ils considèrent enfin que l</w:t>
      </w:r>
      <w:r w:rsidR="007F3E67" w:rsidRPr="007F3E67">
        <w:rPr>
          <w:lang w:val="fr-FR"/>
        </w:rPr>
        <w:t>’</w:t>
      </w:r>
      <w:r w:rsidR="0027633E" w:rsidRPr="007F3E67">
        <w:rPr>
          <w:lang w:val="fr-FR"/>
        </w:rPr>
        <w:t>État n</w:t>
      </w:r>
      <w:r w:rsidR="007F3E67" w:rsidRPr="007F3E67">
        <w:rPr>
          <w:lang w:val="fr-FR"/>
        </w:rPr>
        <w:t>’</w:t>
      </w:r>
      <w:r w:rsidR="0027633E" w:rsidRPr="007F3E67">
        <w:rPr>
          <w:lang w:val="fr-FR"/>
        </w:rPr>
        <w:t>a pas mis en place les mesures nécessaires qui leur éviteraient d</w:t>
      </w:r>
      <w:r w:rsidR="007F3E67" w:rsidRPr="007F3E67">
        <w:rPr>
          <w:lang w:val="fr-FR"/>
        </w:rPr>
        <w:t>’</w:t>
      </w:r>
      <w:r w:rsidR="0027633E" w:rsidRPr="007F3E67">
        <w:rPr>
          <w:lang w:val="fr-FR"/>
        </w:rPr>
        <w:t>être soumis à de tels traitements et ils estiment que les actions des agents et fonctionnaires impliqués ne peuvent trouver d</w:t>
      </w:r>
      <w:r w:rsidR="007F3E67" w:rsidRPr="007F3E67">
        <w:rPr>
          <w:lang w:val="fr-FR"/>
        </w:rPr>
        <w:t>’</w:t>
      </w:r>
      <w:r w:rsidR="0027633E" w:rsidRPr="007F3E67">
        <w:rPr>
          <w:lang w:val="fr-FR"/>
        </w:rPr>
        <w:t>autre justification que la volonté de les punir, eux et les autres personnes arrêtées, pour leurs opinions politiques et pour leur participation aux manifestations contre le sommet du G8 de Gênes. Enfin, selon eux, les auteurs des mauvais traitements en cause ont agi avec le consentement et la connivence de leurs supérieurs hiérarchiques présents à la caserne de Bolzaneto.</w:t>
      </w:r>
    </w:p>
    <w:p w:rsidR="00301040" w:rsidRPr="007F3E67" w:rsidRDefault="00182005" w:rsidP="007F3E67">
      <w:pPr>
        <w:pStyle w:val="ECHRPara"/>
        <w:rPr>
          <w:lang w:val="fr-FR"/>
        </w:rPr>
      </w:pPr>
      <w:r w:rsidRPr="007F3E67">
        <w:rPr>
          <w:lang w:val="fr-FR"/>
        </w:rPr>
        <w:fldChar w:fldCharType="begin"/>
      </w:r>
      <w:r w:rsidRPr="007F3E67">
        <w:rPr>
          <w:lang w:val="fr-FR"/>
        </w:rPr>
        <w:instrText xml:space="preserve"> SEQ level0 \*arabic </w:instrText>
      </w:r>
      <w:r w:rsidRPr="007F3E67">
        <w:rPr>
          <w:lang w:val="fr-FR"/>
        </w:rPr>
        <w:fldChar w:fldCharType="separate"/>
      </w:r>
      <w:r w:rsidR="007F3E67" w:rsidRPr="007F3E67">
        <w:rPr>
          <w:noProof/>
          <w:lang w:val="fr-FR"/>
        </w:rPr>
        <w:t>122</w:t>
      </w:r>
      <w:r w:rsidRPr="007F3E67">
        <w:rPr>
          <w:lang w:val="fr-FR"/>
        </w:rPr>
        <w:fldChar w:fldCharType="end"/>
      </w:r>
      <w:r w:rsidRPr="007F3E67">
        <w:rPr>
          <w:lang w:val="fr-FR"/>
        </w:rPr>
        <w:t>.  </w:t>
      </w:r>
      <w:r w:rsidR="00D1681A" w:rsidRPr="007F3E67">
        <w:rPr>
          <w:lang w:val="fr-FR"/>
        </w:rPr>
        <w:t>Partant,</w:t>
      </w:r>
      <w:r w:rsidR="007E7F96" w:rsidRPr="007F3E67">
        <w:rPr>
          <w:lang w:val="fr-FR"/>
        </w:rPr>
        <w:t xml:space="preserve"> compte tenu de tous ces éléments,</w:t>
      </w:r>
      <w:r w:rsidR="00D1681A" w:rsidRPr="007F3E67">
        <w:rPr>
          <w:lang w:val="fr-FR"/>
        </w:rPr>
        <w:t xml:space="preserve"> les requérants estiment avoir été victimes de</w:t>
      </w:r>
      <w:r w:rsidR="00DA0299" w:rsidRPr="007F3E67">
        <w:rPr>
          <w:lang w:val="fr-FR"/>
        </w:rPr>
        <w:t xml:space="preserve"> torture et de traitement</w:t>
      </w:r>
      <w:r w:rsidR="001971A5" w:rsidRPr="007F3E67">
        <w:rPr>
          <w:lang w:val="fr-FR"/>
        </w:rPr>
        <w:t>s</w:t>
      </w:r>
      <w:r w:rsidR="00DA0299" w:rsidRPr="007F3E67">
        <w:rPr>
          <w:lang w:val="fr-FR"/>
        </w:rPr>
        <w:t xml:space="preserve"> inhumain</w:t>
      </w:r>
      <w:r w:rsidR="001971A5" w:rsidRPr="007F3E67">
        <w:rPr>
          <w:lang w:val="fr-FR"/>
        </w:rPr>
        <w:t>s</w:t>
      </w:r>
      <w:r w:rsidR="00DA0299" w:rsidRPr="007F3E67">
        <w:rPr>
          <w:lang w:val="fr-FR"/>
        </w:rPr>
        <w:t xml:space="preserve"> et dégradant</w:t>
      </w:r>
      <w:r w:rsidR="001971A5" w:rsidRPr="007F3E67">
        <w:rPr>
          <w:lang w:val="fr-FR"/>
        </w:rPr>
        <w:t>s</w:t>
      </w:r>
      <w:r w:rsidR="00DA0299" w:rsidRPr="007F3E67">
        <w:rPr>
          <w:lang w:val="fr-FR"/>
        </w:rPr>
        <w:t>.</w:t>
      </w:r>
    </w:p>
    <w:p w:rsidR="000F6649" w:rsidRPr="007F3E67" w:rsidRDefault="009235D3" w:rsidP="007F3E67">
      <w:pPr>
        <w:pStyle w:val="ECHRHeading6"/>
        <w:rPr>
          <w:lang w:val="fr-FR"/>
        </w:rPr>
      </w:pPr>
      <w:r w:rsidRPr="007F3E67">
        <w:rPr>
          <w:rFonts w:cstheme="majorHAnsi"/>
          <w:lang w:val="fr-FR"/>
        </w:rPr>
        <w:t>β</w:t>
      </w:r>
      <w:r w:rsidRPr="007F3E67">
        <w:rPr>
          <w:lang w:val="fr-FR"/>
        </w:rPr>
        <w:t>)  </w:t>
      </w:r>
      <w:r w:rsidR="000F6649" w:rsidRPr="007F3E67">
        <w:rPr>
          <w:lang w:val="fr-FR"/>
        </w:rPr>
        <w:t>Le Gouvernement</w:t>
      </w:r>
    </w:p>
    <w:p w:rsidR="000F6649" w:rsidRPr="007F3E67" w:rsidRDefault="00E235F1" w:rsidP="007F3E67">
      <w:pPr>
        <w:pStyle w:val="ECHRPara"/>
        <w:rPr>
          <w:lang w:val="fr-FR"/>
        </w:rPr>
      </w:pPr>
      <w:r w:rsidRPr="007F3E67">
        <w:rPr>
          <w:lang w:val="fr-FR"/>
        </w:rPr>
        <w:fldChar w:fldCharType="begin"/>
      </w:r>
      <w:r w:rsidRPr="007F3E67">
        <w:rPr>
          <w:lang w:val="fr-FR"/>
        </w:rPr>
        <w:instrText xml:space="preserve"> SEQ level0 \*arabic </w:instrText>
      </w:r>
      <w:r w:rsidRPr="007F3E67">
        <w:rPr>
          <w:lang w:val="fr-FR"/>
        </w:rPr>
        <w:fldChar w:fldCharType="separate"/>
      </w:r>
      <w:r w:rsidR="007F3E67" w:rsidRPr="007F3E67">
        <w:rPr>
          <w:noProof/>
          <w:lang w:val="fr-FR"/>
        </w:rPr>
        <w:t>123</w:t>
      </w:r>
      <w:r w:rsidRPr="007F3E67">
        <w:rPr>
          <w:lang w:val="fr-FR"/>
        </w:rPr>
        <w:fldChar w:fldCharType="end"/>
      </w:r>
      <w:r w:rsidR="00E77CB3" w:rsidRPr="007F3E67">
        <w:rPr>
          <w:lang w:val="fr-FR"/>
        </w:rPr>
        <w:t xml:space="preserve">.  Le Gouvernement </w:t>
      </w:r>
      <w:r w:rsidR="008A1210" w:rsidRPr="007F3E67">
        <w:rPr>
          <w:lang w:val="fr-FR"/>
        </w:rPr>
        <w:t xml:space="preserve">assure </w:t>
      </w:r>
      <w:r w:rsidR="007A0756" w:rsidRPr="007F3E67">
        <w:rPr>
          <w:lang w:val="fr-FR"/>
        </w:rPr>
        <w:t xml:space="preserve">ne pas sous-estimer la gravité des faits qui se sont produits </w:t>
      </w:r>
      <w:r w:rsidR="008A1210" w:rsidRPr="007F3E67">
        <w:rPr>
          <w:lang w:val="fr-FR"/>
        </w:rPr>
        <w:t>au sein</w:t>
      </w:r>
      <w:r w:rsidR="007A0756" w:rsidRPr="007F3E67">
        <w:rPr>
          <w:lang w:val="fr-FR"/>
        </w:rPr>
        <w:t xml:space="preserve"> de la caserne de Bolzaneto entre le 20 et le 2</w:t>
      </w:r>
      <w:r w:rsidR="00182005" w:rsidRPr="007F3E67">
        <w:rPr>
          <w:lang w:val="fr-FR"/>
        </w:rPr>
        <w:t>3</w:t>
      </w:r>
      <w:r w:rsidR="008A1210" w:rsidRPr="007F3E67">
        <w:rPr>
          <w:lang w:val="fr-FR"/>
        </w:rPr>
        <w:t> </w:t>
      </w:r>
      <w:r w:rsidR="007A0756" w:rsidRPr="007F3E67">
        <w:rPr>
          <w:lang w:val="fr-FR"/>
        </w:rPr>
        <w:t>juillet</w:t>
      </w:r>
      <w:r w:rsidR="008A1210" w:rsidRPr="007F3E67">
        <w:rPr>
          <w:lang w:val="fr-FR"/>
        </w:rPr>
        <w:t> </w:t>
      </w:r>
      <w:r w:rsidR="007A0756" w:rsidRPr="007F3E67">
        <w:rPr>
          <w:lang w:val="fr-FR"/>
        </w:rPr>
        <w:t xml:space="preserve">2001. </w:t>
      </w:r>
      <w:r w:rsidR="008A1210" w:rsidRPr="007F3E67">
        <w:rPr>
          <w:lang w:val="fr-FR"/>
        </w:rPr>
        <w:t>Il estime que l</w:t>
      </w:r>
      <w:r w:rsidR="007A0756" w:rsidRPr="007F3E67">
        <w:rPr>
          <w:lang w:val="fr-FR"/>
        </w:rPr>
        <w:t>es actions commises par les agents de police constituent des infractions graves et déplorables auxquelles l</w:t>
      </w:r>
      <w:r w:rsidR="007F3E67" w:rsidRPr="007F3E67">
        <w:rPr>
          <w:lang w:val="fr-FR"/>
        </w:rPr>
        <w:t>’</w:t>
      </w:r>
      <w:r w:rsidR="007A0756" w:rsidRPr="007F3E67">
        <w:rPr>
          <w:lang w:val="fr-FR"/>
        </w:rPr>
        <w:t>État italien a</w:t>
      </w:r>
      <w:r w:rsidR="0027633E" w:rsidRPr="007F3E67">
        <w:rPr>
          <w:lang w:val="fr-FR"/>
        </w:rPr>
        <w:t>urait</w:t>
      </w:r>
      <w:r w:rsidR="007A0756" w:rsidRPr="007F3E67">
        <w:rPr>
          <w:lang w:val="fr-FR"/>
        </w:rPr>
        <w:t xml:space="preserve"> réagi </w:t>
      </w:r>
      <w:r w:rsidR="00182005" w:rsidRPr="007F3E67">
        <w:rPr>
          <w:lang w:val="fr-FR"/>
        </w:rPr>
        <w:t>de manière adéquate</w:t>
      </w:r>
      <w:r w:rsidR="007A0756" w:rsidRPr="007F3E67">
        <w:rPr>
          <w:lang w:val="fr-FR"/>
        </w:rPr>
        <w:t>, à travers l</w:t>
      </w:r>
      <w:r w:rsidR="007F3E67" w:rsidRPr="007F3E67">
        <w:rPr>
          <w:lang w:val="fr-FR"/>
        </w:rPr>
        <w:t>’</w:t>
      </w:r>
      <w:r w:rsidR="007A0756" w:rsidRPr="007F3E67">
        <w:rPr>
          <w:lang w:val="fr-FR"/>
        </w:rPr>
        <w:t>action des tribunaux, en rétablissant l</w:t>
      </w:r>
      <w:r w:rsidR="007F3E67" w:rsidRPr="007F3E67">
        <w:rPr>
          <w:lang w:val="fr-FR"/>
        </w:rPr>
        <w:t>’</w:t>
      </w:r>
      <w:r w:rsidR="007A0756" w:rsidRPr="007F3E67">
        <w:rPr>
          <w:lang w:val="fr-FR"/>
        </w:rPr>
        <w:t>état de droit affaibli par cet épisode.</w:t>
      </w:r>
    </w:p>
    <w:p w:rsidR="007A0756" w:rsidRPr="007F3E67" w:rsidRDefault="007A0756" w:rsidP="007F3E67">
      <w:pPr>
        <w:pStyle w:val="ECHRPara"/>
        <w:rPr>
          <w:lang w:val="fr-FR"/>
        </w:rPr>
      </w:pPr>
      <w:r w:rsidRPr="007F3E67">
        <w:rPr>
          <w:lang w:val="fr-FR"/>
        </w:rPr>
        <w:fldChar w:fldCharType="begin"/>
      </w:r>
      <w:r w:rsidRPr="007F3E67">
        <w:rPr>
          <w:lang w:val="fr-FR"/>
        </w:rPr>
        <w:instrText xml:space="preserve"> SEQ level0 \*arabic </w:instrText>
      </w:r>
      <w:r w:rsidRPr="007F3E67">
        <w:rPr>
          <w:lang w:val="fr-FR"/>
        </w:rPr>
        <w:fldChar w:fldCharType="separate"/>
      </w:r>
      <w:r w:rsidR="007F3E67" w:rsidRPr="007F3E67">
        <w:rPr>
          <w:noProof/>
          <w:lang w:val="fr-FR"/>
        </w:rPr>
        <w:t>124</w:t>
      </w:r>
      <w:r w:rsidRPr="007F3E67">
        <w:rPr>
          <w:lang w:val="fr-FR"/>
        </w:rPr>
        <w:fldChar w:fldCharType="end"/>
      </w:r>
      <w:r w:rsidRPr="007F3E67">
        <w:rPr>
          <w:lang w:val="fr-FR"/>
        </w:rPr>
        <w:t>.  </w:t>
      </w:r>
      <w:r w:rsidRPr="007F3E67">
        <w:rPr>
          <w:rFonts w:cstheme="minorHAnsi"/>
          <w:lang w:val="fr-FR"/>
        </w:rPr>
        <w:t>En gage</w:t>
      </w:r>
      <w:r w:rsidRPr="007F3E67">
        <w:rPr>
          <w:lang w:val="fr-FR"/>
        </w:rPr>
        <w:t xml:space="preserve"> de « complète reconnaissance par l</w:t>
      </w:r>
      <w:r w:rsidR="007F3E67" w:rsidRPr="007F3E67">
        <w:rPr>
          <w:lang w:val="fr-FR"/>
        </w:rPr>
        <w:t>’</w:t>
      </w:r>
      <w:r w:rsidRPr="007F3E67">
        <w:rPr>
          <w:lang w:val="fr-FR"/>
        </w:rPr>
        <w:t xml:space="preserve">Italie des violations des droits perpétrées », le Gouvernent </w:t>
      </w:r>
      <w:r w:rsidR="008A1210" w:rsidRPr="007F3E67">
        <w:rPr>
          <w:lang w:val="fr-FR"/>
        </w:rPr>
        <w:t xml:space="preserve">déclare </w:t>
      </w:r>
      <w:r w:rsidRPr="007F3E67">
        <w:rPr>
          <w:lang w:val="fr-FR"/>
        </w:rPr>
        <w:t>souscrire « au jugement des juridictions nationales, qui ont très durement stigmatisé le comportement des agents de police » à l</w:t>
      </w:r>
      <w:r w:rsidR="007F3E67" w:rsidRPr="007F3E67">
        <w:rPr>
          <w:lang w:val="fr-FR"/>
        </w:rPr>
        <w:t>’</w:t>
      </w:r>
      <w:r w:rsidRPr="007F3E67">
        <w:rPr>
          <w:lang w:val="fr-FR"/>
        </w:rPr>
        <w:t>époque des faits.</w:t>
      </w:r>
    </w:p>
    <w:p w:rsidR="00F659AC" w:rsidRPr="007F3E67" w:rsidRDefault="00F659AC" w:rsidP="007F3E67">
      <w:pPr>
        <w:pStyle w:val="ECHRPara"/>
        <w:rPr>
          <w:lang w:val="fr-FR"/>
        </w:rPr>
      </w:pPr>
      <w:r w:rsidRPr="007F3E67">
        <w:rPr>
          <w:lang w:val="fr-FR"/>
        </w:rPr>
        <w:fldChar w:fldCharType="begin"/>
      </w:r>
      <w:r w:rsidRPr="007F3E67">
        <w:rPr>
          <w:lang w:val="fr-FR"/>
        </w:rPr>
        <w:instrText xml:space="preserve"> SEQ level0 \*arabic </w:instrText>
      </w:r>
      <w:r w:rsidRPr="007F3E67">
        <w:rPr>
          <w:lang w:val="fr-FR"/>
        </w:rPr>
        <w:fldChar w:fldCharType="separate"/>
      </w:r>
      <w:r w:rsidR="007F3E67" w:rsidRPr="007F3E67">
        <w:rPr>
          <w:noProof/>
          <w:lang w:val="fr-FR"/>
        </w:rPr>
        <w:t>125</w:t>
      </w:r>
      <w:r w:rsidRPr="007F3E67">
        <w:rPr>
          <w:lang w:val="fr-FR"/>
        </w:rPr>
        <w:fldChar w:fldCharType="end"/>
      </w:r>
      <w:r w:rsidRPr="007F3E67">
        <w:rPr>
          <w:lang w:val="fr-FR"/>
        </w:rPr>
        <w:t>.  </w:t>
      </w:r>
      <w:r w:rsidR="008A3206" w:rsidRPr="007F3E67">
        <w:rPr>
          <w:lang w:val="fr-FR"/>
        </w:rPr>
        <w:t xml:space="preserve">Néanmoins, </w:t>
      </w:r>
      <w:r w:rsidR="008A1210" w:rsidRPr="007F3E67">
        <w:rPr>
          <w:lang w:val="fr-FR"/>
        </w:rPr>
        <w:t>il</w:t>
      </w:r>
      <w:r w:rsidR="008A3206" w:rsidRPr="007F3E67">
        <w:rPr>
          <w:lang w:val="fr-FR"/>
        </w:rPr>
        <w:t xml:space="preserve"> </w:t>
      </w:r>
      <w:r w:rsidR="008A1210" w:rsidRPr="007F3E67">
        <w:rPr>
          <w:lang w:val="fr-FR"/>
        </w:rPr>
        <w:t>expose</w:t>
      </w:r>
      <w:r w:rsidR="008A3206" w:rsidRPr="007F3E67">
        <w:rPr>
          <w:lang w:val="fr-FR"/>
        </w:rPr>
        <w:t xml:space="preserve"> que les événements en question ne sauraient être regardés comme </w:t>
      </w:r>
      <w:r w:rsidR="008A1210" w:rsidRPr="007F3E67">
        <w:rPr>
          <w:lang w:val="fr-FR"/>
        </w:rPr>
        <w:t>l</w:t>
      </w:r>
      <w:r w:rsidR="007F3E67" w:rsidRPr="007F3E67">
        <w:rPr>
          <w:lang w:val="fr-FR"/>
        </w:rPr>
        <w:t>’</w:t>
      </w:r>
      <w:r w:rsidR="008A3206" w:rsidRPr="007F3E67">
        <w:rPr>
          <w:lang w:val="fr-FR"/>
        </w:rPr>
        <w:t>expression d</w:t>
      </w:r>
      <w:r w:rsidR="007F3E67" w:rsidRPr="007F3E67">
        <w:rPr>
          <w:lang w:val="fr-FR"/>
        </w:rPr>
        <w:t>’</w:t>
      </w:r>
      <w:r w:rsidR="008A3206" w:rsidRPr="007F3E67">
        <w:rPr>
          <w:lang w:val="fr-FR"/>
        </w:rPr>
        <w:t>une politique générale de l</w:t>
      </w:r>
      <w:r w:rsidR="007F3E67" w:rsidRPr="007F3E67">
        <w:rPr>
          <w:lang w:val="fr-FR"/>
        </w:rPr>
        <w:t>’</w:t>
      </w:r>
      <w:r w:rsidR="008A3206" w:rsidRPr="007F3E67">
        <w:rPr>
          <w:lang w:val="fr-FR"/>
        </w:rPr>
        <w:t xml:space="preserve">administration italienne. </w:t>
      </w:r>
      <w:r w:rsidR="008A1210" w:rsidRPr="007F3E67">
        <w:rPr>
          <w:lang w:val="fr-FR"/>
        </w:rPr>
        <w:t>Selon lui, l</w:t>
      </w:r>
      <w:r w:rsidR="008A3206" w:rsidRPr="007F3E67">
        <w:rPr>
          <w:lang w:val="fr-FR"/>
        </w:rPr>
        <w:t xml:space="preserve">es faits ayant eu lieu à la caserne de Bolzaneto constituent un épisode isolé et exceptionnel, </w:t>
      </w:r>
      <w:r w:rsidR="00636E74" w:rsidRPr="007F3E67">
        <w:rPr>
          <w:lang w:val="fr-FR"/>
        </w:rPr>
        <w:t>dont l</w:t>
      </w:r>
      <w:r w:rsidR="007F3E67" w:rsidRPr="007F3E67">
        <w:rPr>
          <w:lang w:val="fr-FR"/>
        </w:rPr>
        <w:t>’</w:t>
      </w:r>
      <w:r w:rsidR="00636E74" w:rsidRPr="007F3E67">
        <w:rPr>
          <w:lang w:val="fr-FR"/>
        </w:rPr>
        <w:t>arbitraire et la gravité des</w:t>
      </w:r>
      <w:r w:rsidR="008A3206" w:rsidRPr="007F3E67">
        <w:rPr>
          <w:lang w:val="fr-FR"/>
        </w:rPr>
        <w:t xml:space="preserve"> modalités de prise en charge et de traitement des personnes </w:t>
      </w:r>
      <w:r w:rsidR="00636E74" w:rsidRPr="007F3E67">
        <w:rPr>
          <w:lang w:val="fr-FR"/>
        </w:rPr>
        <w:t>arrêtées s</w:t>
      </w:r>
      <w:r w:rsidR="007F3E67" w:rsidRPr="007F3E67">
        <w:rPr>
          <w:lang w:val="fr-FR"/>
        </w:rPr>
        <w:t>’</w:t>
      </w:r>
      <w:r w:rsidR="00636E74" w:rsidRPr="007F3E67">
        <w:rPr>
          <w:lang w:val="fr-FR"/>
        </w:rPr>
        <w:t>inscrivent dans les exigences spécifiques de protection de l</w:t>
      </w:r>
      <w:r w:rsidR="007F3E67" w:rsidRPr="007F3E67">
        <w:rPr>
          <w:lang w:val="fr-FR"/>
        </w:rPr>
        <w:t>’</w:t>
      </w:r>
      <w:r w:rsidR="00636E74" w:rsidRPr="007F3E67">
        <w:rPr>
          <w:lang w:val="fr-FR"/>
        </w:rPr>
        <w:t xml:space="preserve">ordre public </w:t>
      </w:r>
      <w:r w:rsidR="008A1210" w:rsidRPr="007F3E67">
        <w:rPr>
          <w:lang w:val="fr-FR"/>
        </w:rPr>
        <w:t xml:space="preserve">lors </w:t>
      </w:r>
      <w:r w:rsidR="00636E74" w:rsidRPr="007F3E67">
        <w:rPr>
          <w:lang w:val="fr-FR"/>
        </w:rPr>
        <w:t>du G8 de Gênes, un contexte tout à fait particulier caractérisé par la présence de milliers de manifestants en provenance de l</w:t>
      </w:r>
      <w:r w:rsidR="007F3E67" w:rsidRPr="007F3E67">
        <w:rPr>
          <w:lang w:val="fr-FR"/>
        </w:rPr>
        <w:t>’</w:t>
      </w:r>
      <w:r w:rsidR="00636E74" w:rsidRPr="007F3E67">
        <w:rPr>
          <w:lang w:val="fr-FR"/>
        </w:rPr>
        <w:t>Europe entière et aggravé par les nombreux incidents et accrochages qui se seraient produ</w:t>
      </w:r>
      <w:r w:rsidR="005670AC" w:rsidRPr="007F3E67">
        <w:rPr>
          <w:lang w:val="fr-FR"/>
        </w:rPr>
        <w:t>its pendant les manifestations.</w:t>
      </w:r>
    </w:p>
    <w:p w:rsidR="000F6649" w:rsidRPr="007F3E67" w:rsidRDefault="009235D3" w:rsidP="007F3E67">
      <w:pPr>
        <w:pStyle w:val="ECHRHeading5"/>
        <w:rPr>
          <w:lang w:val="fr-FR"/>
        </w:rPr>
      </w:pPr>
      <w:r w:rsidRPr="007F3E67">
        <w:rPr>
          <w:lang w:val="fr-FR"/>
        </w:rPr>
        <w:t>ii.</w:t>
      </w:r>
      <w:r w:rsidR="000F6649" w:rsidRPr="007F3E67">
        <w:rPr>
          <w:lang w:val="fr-FR"/>
        </w:rPr>
        <w:t>  Appréciation de la Cour</w:t>
      </w:r>
    </w:p>
    <w:p w:rsidR="000F6649" w:rsidRPr="007F3E67" w:rsidRDefault="009235D3" w:rsidP="007F3E67">
      <w:pPr>
        <w:pStyle w:val="ECHRHeading6"/>
        <w:rPr>
          <w:lang w:val="fr-FR"/>
        </w:rPr>
      </w:pPr>
      <w:r w:rsidRPr="007F3E67">
        <w:rPr>
          <w:rFonts w:cstheme="majorHAnsi"/>
          <w:lang w:val="fr-FR"/>
        </w:rPr>
        <w:t>α</w:t>
      </w:r>
      <w:r w:rsidRPr="007F3E67">
        <w:rPr>
          <w:lang w:val="fr-FR"/>
        </w:rPr>
        <w:t>)  </w:t>
      </w:r>
      <w:r w:rsidR="00FB096B" w:rsidRPr="007F3E67">
        <w:rPr>
          <w:lang w:val="fr-FR"/>
        </w:rPr>
        <w:t>Principes généraux</w:t>
      </w:r>
    </w:p>
    <w:p w:rsidR="00C925EB" w:rsidRPr="007F3E67" w:rsidRDefault="00FB096B" w:rsidP="007F3E67">
      <w:pPr>
        <w:pStyle w:val="ECHRPara"/>
        <w:rPr>
          <w:i/>
          <w:lang w:val="fr-FR"/>
        </w:rPr>
      </w:pPr>
      <w:r w:rsidRPr="007F3E67">
        <w:rPr>
          <w:lang w:val="fr-FR"/>
        </w:rPr>
        <w:fldChar w:fldCharType="begin"/>
      </w:r>
      <w:r w:rsidRPr="007F3E67">
        <w:rPr>
          <w:lang w:val="fr-FR"/>
        </w:rPr>
        <w:instrText xml:space="preserve"> SEQ level0 \*arabic </w:instrText>
      </w:r>
      <w:r w:rsidRPr="007F3E67">
        <w:rPr>
          <w:lang w:val="fr-FR"/>
        </w:rPr>
        <w:fldChar w:fldCharType="separate"/>
      </w:r>
      <w:r w:rsidR="007F3E67" w:rsidRPr="007F3E67">
        <w:rPr>
          <w:noProof/>
          <w:lang w:val="fr-FR"/>
        </w:rPr>
        <w:t>126</w:t>
      </w:r>
      <w:r w:rsidRPr="007F3E67">
        <w:rPr>
          <w:lang w:val="fr-FR"/>
        </w:rPr>
        <w:fldChar w:fldCharType="end"/>
      </w:r>
      <w:r w:rsidRPr="007F3E67">
        <w:rPr>
          <w:lang w:val="fr-FR"/>
        </w:rPr>
        <w:t>.  L</w:t>
      </w:r>
      <w:r w:rsidR="00230578" w:rsidRPr="007F3E67">
        <w:rPr>
          <w:lang w:val="fr-FR"/>
        </w:rPr>
        <w:t xml:space="preserve">es principes généraux applicables en </w:t>
      </w:r>
      <w:r w:rsidR="00C925EB" w:rsidRPr="007F3E67">
        <w:rPr>
          <w:lang w:val="fr-FR"/>
        </w:rPr>
        <w:t xml:space="preserve">la </w:t>
      </w:r>
      <w:r w:rsidR="00230578" w:rsidRPr="007F3E67">
        <w:rPr>
          <w:lang w:val="fr-FR"/>
        </w:rPr>
        <w:t>matière ont été récemment rappelés dans l</w:t>
      </w:r>
      <w:r w:rsidR="00660DD5" w:rsidRPr="007F3E67">
        <w:rPr>
          <w:lang w:val="fr-FR"/>
        </w:rPr>
        <w:t xml:space="preserve">es arrêts </w:t>
      </w:r>
      <w:r w:rsidR="00660DD5" w:rsidRPr="007F3E67">
        <w:rPr>
          <w:i/>
          <w:lang w:val="fr-FR"/>
        </w:rPr>
        <w:t xml:space="preserve">Bouyid c. Belgique </w:t>
      </w:r>
      <w:r w:rsidR="00660DD5" w:rsidRPr="007F3E67">
        <w:rPr>
          <w:lang w:val="fr-FR"/>
        </w:rPr>
        <w:t>([GC], n</w:t>
      </w:r>
      <w:r w:rsidR="00660DD5" w:rsidRPr="007F3E67">
        <w:rPr>
          <w:vertAlign w:val="superscript"/>
          <w:lang w:val="fr-FR"/>
        </w:rPr>
        <w:t>o</w:t>
      </w:r>
      <w:r w:rsidR="00660DD5" w:rsidRPr="007F3E67">
        <w:rPr>
          <w:lang w:val="fr-FR"/>
        </w:rPr>
        <w:t xml:space="preserve"> 23380/09, §§ 88-90, CEDH 2015) et</w:t>
      </w:r>
      <w:r w:rsidR="00230578" w:rsidRPr="007F3E67">
        <w:rPr>
          <w:lang w:val="fr-FR"/>
        </w:rPr>
        <w:t xml:space="preserve"> </w:t>
      </w:r>
      <w:r w:rsidR="00C33BAA" w:rsidRPr="007F3E67">
        <w:rPr>
          <w:i/>
          <w:lang w:val="fr-FR"/>
        </w:rPr>
        <w:t>Bartesaghi Gallo et autres</w:t>
      </w:r>
      <w:r w:rsidR="00C33BAA" w:rsidRPr="007F3E67">
        <w:rPr>
          <w:lang w:val="fr-FR"/>
        </w:rPr>
        <w:t xml:space="preserve"> </w:t>
      </w:r>
      <w:r w:rsidR="00633749" w:rsidRPr="007F3E67">
        <w:rPr>
          <w:i/>
          <w:lang w:val="fr-FR"/>
        </w:rPr>
        <w:t xml:space="preserve">c. </w:t>
      </w:r>
      <w:r w:rsidR="00D21F33" w:rsidRPr="007F3E67">
        <w:rPr>
          <w:i/>
          <w:lang w:val="fr-FR"/>
        </w:rPr>
        <w:t>Italie</w:t>
      </w:r>
      <w:r w:rsidR="00D21F33" w:rsidRPr="007F3E67">
        <w:rPr>
          <w:snapToGrid w:val="0"/>
          <w:lang w:val="fr-FR"/>
        </w:rPr>
        <w:t xml:space="preserve"> (</w:t>
      </w:r>
      <w:r w:rsidR="00633749" w:rsidRPr="007F3E67">
        <w:rPr>
          <w:snapToGrid w:val="0"/>
          <w:lang w:val="fr-FR"/>
        </w:rPr>
        <w:t>n</w:t>
      </w:r>
      <w:r w:rsidR="00633749" w:rsidRPr="007F3E67">
        <w:rPr>
          <w:snapToGrid w:val="0"/>
          <w:vertAlign w:val="superscript"/>
          <w:lang w:val="fr-FR"/>
        </w:rPr>
        <w:t>o</w:t>
      </w:r>
      <w:r w:rsidR="00C33BAA" w:rsidRPr="007F3E67">
        <w:rPr>
          <w:snapToGrid w:val="0"/>
          <w:vertAlign w:val="superscript"/>
          <w:lang w:val="fr-FR"/>
        </w:rPr>
        <w:t>s</w:t>
      </w:r>
      <w:r w:rsidR="00633749" w:rsidRPr="007F3E67">
        <w:rPr>
          <w:snapToGrid w:val="0"/>
          <w:lang w:val="fr-FR"/>
        </w:rPr>
        <w:t xml:space="preserve"> </w:t>
      </w:r>
      <w:r w:rsidR="007F3E67" w:rsidRPr="007F3E67">
        <w:rPr>
          <w:snapToGrid w:val="0"/>
          <w:lang w:val="fr-FR"/>
        </w:rPr>
        <w:t>12131/13 et </w:t>
      </w:r>
      <w:r w:rsidR="00C33BAA" w:rsidRPr="007F3E67">
        <w:rPr>
          <w:snapToGrid w:val="0"/>
          <w:lang w:val="fr-FR"/>
        </w:rPr>
        <w:t>43390/13</w:t>
      </w:r>
      <w:r w:rsidR="00633749" w:rsidRPr="007F3E67">
        <w:rPr>
          <w:snapToGrid w:val="0"/>
          <w:lang w:val="fr-FR"/>
        </w:rPr>
        <w:t>, §§</w:t>
      </w:r>
      <w:r w:rsidR="00C33BAA" w:rsidRPr="007F3E67">
        <w:rPr>
          <w:snapToGrid w:val="0"/>
          <w:lang w:val="fr-FR"/>
        </w:rPr>
        <w:t xml:space="preserve"> 111-113</w:t>
      </w:r>
      <w:r w:rsidR="00633749" w:rsidRPr="007F3E67">
        <w:rPr>
          <w:snapToGrid w:val="0"/>
          <w:lang w:val="fr-FR"/>
        </w:rPr>
        <w:t xml:space="preserve">, </w:t>
      </w:r>
      <w:r w:rsidR="00C33BAA" w:rsidRPr="007F3E67">
        <w:rPr>
          <w:snapToGrid w:val="0"/>
          <w:lang w:val="fr-FR"/>
        </w:rPr>
        <w:t>22 juin 2017</w:t>
      </w:r>
      <w:r w:rsidR="00D21F33" w:rsidRPr="007F3E67">
        <w:rPr>
          <w:snapToGrid w:val="0"/>
          <w:lang w:val="fr-FR"/>
        </w:rPr>
        <w:t>).</w:t>
      </w:r>
    </w:p>
    <w:p w:rsidR="00FB096B" w:rsidRPr="007F3E67" w:rsidRDefault="009235D3" w:rsidP="007F3E67">
      <w:pPr>
        <w:pStyle w:val="ECHRHeading6"/>
        <w:rPr>
          <w:lang w:val="fr-FR"/>
        </w:rPr>
      </w:pPr>
      <w:r w:rsidRPr="007F3E67">
        <w:rPr>
          <w:rFonts w:cstheme="majorHAnsi"/>
          <w:lang w:val="fr-FR"/>
        </w:rPr>
        <w:t>β</w:t>
      </w:r>
      <w:r w:rsidRPr="007F3E67">
        <w:rPr>
          <w:lang w:val="fr-FR"/>
        </w:rPr>
        <w:t>)</w:t>
      </w:r>
      <w:r w:rsidR="00FB096B" w:rsidRPr="007F3E67">
        <w:rPr>
          <w:lang w:val="fr-FR"/>
        </w:rPr>
        <w:t>  Application de ces principes aux circonstances des présentes espèces</w:t>
      </w:r>
    </w:p>
    <w:p w:rsidR="005B1238" w:rsidRPr="007F3E67" w:rsidRDefault="00C33BAA" w:rsidP="007F3E67">
      <w:pPr>
        <w:pStyle w:val="ECHRPara"/>
        <w:rPr>
          <w:lang w:val="fr-FR"/>
        </w:rPr>
      </w:pPr>
      <w:r w:rsidRPr="007F3E67">
        <w:rPr>
          <w:lang w:val="fr-FR"/>
        </w:rPr>
        <w:fldChar w:fldCharType="begin"/>
      </w:r>
      <w:r w:rsidRPr="007F3E67">
        <w:rPr>
          <w:lang w:val="fr-FR"/>
        </w:rPr>
        <w:instrText xml:space="preserve"> SEQ level0 \*arabic </w:instrText>
      </w:r>
      <w:r w:rsidRPr="007F3E67">
        <w:rPr>
          <w:lang w:val="fr-FR"/>
        </w:rPr>
        <w:fldChar w:fldCharType="separate"/>
      </w:r>
      <w:r w:rsidR="007F3E67" w:rsidRPr="007F3E67">
        <w:rPr>
          <w:noProof/>
          <w:lang w:val="fr-FR"/>
        </w:rPr>
        <w:t>127</w:t>
      </w:r>
      <w:r w:rsidRPr="007F3E67">
        <w:rPr>
          <w:lang w:val="fr-FR"/>
        </w:rPr>
        <w:fldChar w:fldCharType="end"/>
      </w:r>
      <w:r w:rsidRPr="007F3E67">
        <w:rPr>
          <w:lang w:val="fr-FR"/>
        </w:rPr>
        <w:t>.  </w:t>
      </w:r>
      <w:r w:rsidR="00E82D64" w:rsidRPr="007F3E67">
        <w:rPr>
          <w:lang w:val="fr-FR"/>
        </w:rPr>
        <w:t>La Cour note d</w:t>
      </w:r>
      <w:r w:rsidR="007F3E67" w:rsidRPr="007F3E67">
        <w:rPr>
          <w:lang w:val="fr-FR"/>
        </w:rPr>
        <w:t>’</w:t>
      </w:r>
      <w:r w:rsidR="00E82D64" w:rsidRPr="007F3E67">
        <w:rPr>
          <w:lang w:val="fr-FR"/>
        </w:rPr>
        <w:t>emblée que les tribunaux internes ont établi de manière détaillée et approfondie, avec exactitude et au-delà de tout doute raisonnable les mauvais traitements dont les personnes placées à la caserne de Bolzaneto</w:t>
      </w:r>
      <w:r w:rsidR="0027633E" w:rsidRPr="007F3E67">
        <w:rPr>
          <w:lang w:val="fr-FR"/>
        </w:rPr>
        <w:t xml:space="preserve"> ont été l</w:t>
      </w:r>
      <w:r w:rsidR="007F3E67" w:rsidRPr="007F3E67">
        <w:rPr>
          <w:lang w:val="fr-FR"/>
        </w:rPr>
        <w:t>’</w:t>
      </w:r>
      <w:r w:rsidR="0027633E" w:rsidRPr="007F3E67">
        <w:rPr>
          <w:lang w:val="fr-FR"/>
        </w:rPr>
        <w:t>objet</w:t>
      </w:r>
      <w:r w:rsidR="00E82D64" w:rsidRPr="007F3E67">
        <w:rPr>
          <w:lang w:val="fr-FR"/>
        </w:rPr>
        <w:t xml:space="preserve"> </w:t>
      </w:r>
      <w:r w:rsidR="005F7C0E" w:rsidRPr="007F3E67">
        <w:rPr>
          <w:lang w:val="fr-FR"/>
        </w:rPr>
        <w:t xml:space="preserve">(paragraphes </w:t>
      </w:r>
      <w:r w:rsidRPr="007F3E67">
        <w:rPr>
          <w:lang w:val="fr-FR"/>
        </w:rPr>
        <w:fldChar w:fldCharType="begin"/>
      </w:r>
      <w:r w:rsidRPr="007F3E67">
        <w:rPr>
          <w:lang w:val="fr-FR"/>
        </w:rPr>
        <w:instrText xml:space="preserve"> REF Reconstruction_FAITS \h </w:instrText>
      </w:r>
      <w:r w:rsidR="007E235C" w:rsidRPr="007F3E67">
        <w:rPr>
          <w:lang w:val="fr-FR"/>
        </w:rPr>
        <w:instrText xml:space="preserve"> \* MERGEFORMAT </w:instrText>
      </w:r>
      <w:r w:rsidRPr="007F3E67">
        <w:rPr>
          <w:lang w:val="fr-FR"/>
        </w:rPr>
      </w:r>
      <w:r w:rsidRPr="007F3E67">
        <w:rPr>
          <w:lang w:val="fr-FR"/>
        </w:rPr>
        <w:fldChar w:fldCharType="separate"/>
      </w:r>
      <w:r w:rsidR="007F3E67" w:rsidRPr="007F3E67">
        <w:rPr>
          <w:noProof/>
          <w:lang w:val="fr-FR"/>
        </w:rPr>
        <w:t>18</w:t>
      </w:r>
      <w:r w:rsidRPr="007F3E67">
        <w:rPr>
          <w:lang w:val="fr-FR"/>
        </w:rPr>
        <w:fldChar w:fldCharType="end"/>
      </w:r>
      <w:r w:rsidRPr="007F3E67">
        <w:rPr>
          <w:lang w:val="fr-FR"/>
        </w:rPr>
        <w:t>-</w:t>
      </w:r>
      <w:r w:rsidRPr="007F3E67">
        <w:rPr>
          <w:lang w:val="fr-FR"/>
        </w:rPr>
        <w:fldChar w:fldCharType="begin"/>
      </w:r>
      <w:r w:rsidRPr="007F3E67">
        <w:rPr>
          <w:lang w:val="fr-FR"/>
        </w:rPr>
        <w:instrText xml:space="preserve"> REF Reconstruction_FAITS_FIN \h </w:instrText>
      </w:r>
      <w:r w:rsidR="007E235C" w:rsidRPr="007F3E67">
        <w:rPr>
          <w:lang w:val="fr-FR"/>
        </w:rPr>
        <w:instrText xml:space="preserve"> \* MERGEFORMAT </w:instrText>
      </w:r>
      <w:r w:rsidRPr="007F3E67">
        <w:rPr>
          <w:lang w:val="fr-FR"/>
        </w:rPr>
      </w:r>
      <w:r w:rsidRPr="007F3E67">
        <w:rPr>
          <w:lang w:val="fr-FR"/>
        </w:rPr>
        <w:fldChar w:fldCharType="separate"/>
      </w:r>
      <w:r w:rsidR="007F3E67" w:rsidRPr="007F3E67">
        <w:rPr>
          <w:noProof/>
          <w:lang w:val="fr-FR"/>
        </w:rPr>
        <w:t>50</w:t>
      </w:r>
      <w:r w:rsidRPr="007F3E67">
        <w:rPr>
          <w:lang w:val="fr-FR"/>
        </w:rPr>
        <w:fldChar w:fldCharType="end"/>
      </w:r>
      <w:r w:rsidR="005F7C0E" w:rsidRPr="007F3E67">
        <w:rPr>
          <w:lang w:val="fr-FR"/>
        </w:rPr>
        <w:t xml:space="preserve"> </w:t>
      </w:r>
      <w:r w:rsidR="00A43FBC" w:rsidRPr="007F3E67">
        <w:rPr>
          <w:lang w:val="fr-FR"/>
        </w:rPr>
        <w:t xml:space="preserve">ci-dessus) et </w:t>
      </w:r>
      <w:r w:rsidR="0027633E" w:rsidRPr="007F3E67">
        <w:rPr>
          <w:lang w:val="fr-FR"/>
        </w:rPr>
        <w:t xml:space="preserve">elle </w:t>
      </w:r>
      <w:r w:rsidR="00A43FBC" w:rsidRPr="007F3E67">
        <w:rPr>
          <w:lang w:val="fr-FR"/>
        </w:rPr>
        <w:t>ne relève pas</w:t>
      </w:r>
      <w:r w:rsidR="00A43FBC" w:rsidRPr="007F3E67">
        <w:rPr>
          <w:szCs w:val="24"/>
          <w:lang w:val="fr-FR"/>
        </w:rPr>
        <w:t xml:space="preserve"> d</w:t>
      </w:r>
      <w:r w:rsidR="007F3E67" w:rsidRPr="007F3E67">
        <w:rPr>
          <w:szCs w:val="24"/>
          <w:lang w:val="fr-FR"/>
        </w:rPr>
        <w:t>’</w:t>
      </w:r>
      <w:r w:rsidR="00A43FBC" w:rsidRPr="007F3E67">
        <w:rPr>
          <w:szCs w:val="24"/>
          <w:lang w:val="fr-FR"/>
        </w:rPr>
        <w:t>éléments convaincants pour pouvoir s</w:t>
      </w:r>
      <w:r w:rsidR="007F3E67" w:rsidRPr="007F3E67">
        <w:rPr>
          <w:szCs w:val="24"/>
          <w:lang w:val="fr-FR"/>
        </w:rPr>
        <w:t>’</w:t>
      </w:r>
      <w:r w:rsidR="00A43FBC" w:rsidRPr="007F3E67">
        <w:rPr>
          <w:szCs w:val="24"/>
          <w:lang w:val="fr-FR"/>
        </w:rPr>
        <w:t xml:space="preserve">écarter des </w:t>
      </w:r>
      <w:r w:rsidR="00633749" w:rsidRPr="007F3E67">
        <w:rPr>
          <w:szCs w:val="24"/>
          <w:lang w:val="fr-FR"/>
        </w:rPr>
        <w:t>conclusions</w:t>
      </w:r>
      <w:r w:rsidR="00A43FBC" w:rsidRPr="007F3E67">
        <w:rPr>
          <w:szCs w:val="24"/>
          <w:lang w:val="fr-FR"/>
        </w:rPr>
        <w:t xml:space="preserve"> auxquelles ils sont parvenus (</w:t>
      </w:r>
      <w:r w:rsidR="00A43FBC" w:rsidRPr="007F3E67">
        <w:rPr>
          <w:i/>
          <w:lang w:val="fr-FR"/>
        </w:rPr>
        <w:t>Gäfgen</w:t>
      </w:r>
      <w:r w:rsidR="00A43FBC" w:rsidRPr="007F3E67">
        <w:rPr>
          <w:lang w:val="fr-FR"/>
        </w:rPr>
        <w:t>, précité, § 93)</w:t>
      </w:r>
      <w:r w:rsidR="00FB096B" w:rsidRPr="007F3E67">
        <w:rPr>
          <w:lang w:val="fr-FR"/>
        </w:rPr>
        <w:t>.</w:t>
      </w:r>
      <w:r w:rsidR="00076EAE" w:rsidRPr="007F3E67">
        <w:rPr>
          <w:lang w:val="fr-FR"/>
        </w:rPr>
        <w:t xml:space="preserve"> Les témoignages des victimes ont été confirmés par les dépositions de membres des forces de l</w:t>
      </w:r>
      <w:r w:rsidR="007F3E67" w:rsidRPr="007F3E67">
        <w:rPr>
          <w:lang w:val="fr-FR"/>
        </w:rPr>
        <w:t>’</w:t>
      </w:r>
      <w:r w:rsidR="00076EAE" w:rsidRPr="007F3E67">
        <w:rPr>
          <w:lang w:val="fr-FR"/>
        </w:rPr>
        <w:t>ordre et de l</w:t>
      </w:r>
      <w:r w:rsidR="007F3E67" w:rsidRPr="007F3E67">
        <w:rPr>
          <w:lang w:val="fr-FR"/>
        </w:rPr>
        <w:t>’</w:t>
      </w:r>
      <w:r w:rsidR="00076EAE" w:rsidRPr="007F3E67">
        <w:rPr>
          <w:lang w:val="fr-FR"/>
        </w:rPr>
        <w:t>administration publique, par les admissions partielles des accusés ainsi que par les documents à disposition des magistrats, notamment les comptes rendus médicaux et les expertises judiciaires.</w:t>
      </w:r>
    </w:p>
    <w:p w:rsidR="00E82D64" w:rsidRPr="007F3E67" w:rsidRDefault="00E82D64" w:rsidP="007F3E67">
      <w:pPr>
        <w:pStyle w:val="ECHRPara"/>
        <w:rPr>
          <w:i/>
          <w:iCs/>
          <w:lang w:val="fr-FR"/>
        </w:rPr>
      </w:pPr>
      <w:r w:rsidRPr="007F3E67">
        <w:rPr>
          <w:lang w:val="fr-FR"/>
        </w:rPr>
        <w:fldChar w:fldCharType="begin"/>
      </w:r>
      <w:r w:rsidRPr="007F3E67">
        <w:rPr>
          <w:lang w:val="fr-FR"/>
        </w:rPr>
        <w:instrText xml:space="preserve"> SEQ level0 \*arabic </w:instrText>
      </w:r>
      <w:r w:rsidRPr="007F3E67">
        <w:rPr>
          <w:lang w:val="fr-FR"/>
        </w:rPr>
        <w:fldChar w:fldCharType="separate"/>
      </w:r>
      <w:r w:rsidR="007F3E67" w:rsidRPr="007F3E67">
        <w:rPr>
          <w:noProof/>
          <w:lang w:val="fr-FR"/>
        </w:rPr>
        <w:t>128</w:t>
      </w:r>
      <w:r w:rsidRPr="007F3E67">
        <w:rPr>
          <w:lang w:val="fr-FR"/>
        </w:rPr>
        <w:fldChar w:fldCharType="end"/>
      </w:r>
      <w:r w:rsidRPr="007F3E67">
        <w:rPr>
          <w:lang w:val="fr-FR"/>
        </w:rPr>
        <w:t xml:space="preserve">.  Dès lors, </w:t>
      </w:r>
      <w:r w:rsidR="00076EAE" w:rsidRPr="007F3E67">
        <w:rPr>
          <w:lang w:val="fr-FR"/>
        </w:rPr>
        <w:t>la Cour</w:t>
      </w:r>
      <w:r w:rsidRPr="007F3E67">
        <w:rPr>
          <w:lang w:val="fr-FR"/>
        </w:rPr>
        <w:t xml:space="preserve"> juge établies tant les agressions physiques et verbales dont les requérants se plaignent que les séquelles </w:t>
      </w:r>
      <w:r w:rsidR="00076EAE" w:rsidRPr="007F3E67">
        <w:rPr>
          <w:lang w:val="fr-FR"/>
        </w:rPr>
        <w:t>découlant de</w:t>
      </w:r>
      <w:r w:rsidRPr="007F3E67">
        <w:rPr>
          <w:lang w:val="fr-FR"/>
        </w:rPr>
        <w:t xml:space="preserve"> celles-ci. Elle constate en particulier ce qui suit :</w:t>
      </w:r>
    </w:p>
    <w:p w:rsidR="000A7D2D" w:rsidRPr="007F3E67" w:rsidRDefault="001930BD" w:rsidP="007F3E67">
      <w:pPr>
        <w:pStyle w:val="ECHRPara"/>
        <w:rPr>
          <w:lang w:val="fr-FR"/>
        </w:rPr>
      </w:pPr>
      <w:r w:rsidRPr="007F3E67">
        <w:rPr>
          <w:lang w:val="fr-FR"/>
        </w:rPr>
        <w:t>–  </w:t>
      </w:r>
      <w:r w:rsidR="00BC2C09" w:rsidRPr="007F3E67">
        <w:rPr>
          <w:lang w:val="fr-FR"/>
        </w:rPr>
        <w:t xml:space="preserve">dès </w:t>
      </w:r>
      <w:r w:rsidR="0021066E" w:rsidRPr="007F3E67">
        <w:rPr>
          <w:lang w:val="fr-FR"/>
        </w:rPr>
        <w:t>leur arrivée</w:t>
      </w:r>
      <w:r w:rsidR="00BC2C09" w:rsidRPr="007F3E67">
        <w:rPr>
          <w:lang w:val="fr-FR"/>
        </w:rPr>
        <w:t xml:space="preserve"> à la caserne de Bolzaneto, </w:t>
      </w:r>
      <w:r w:rsidRPr="007F3E67">
        <w:rPr>
          <w:lang w:val="fr-FR"/>
        </w:rPr>
        <w:t xml:space="preserve">il a été interdit </w:t>
      </w:r>
      <w:r w:rsidR="0021066E" w:rsidRPr="007F3E67">
        <w:rPr>
          <w:lang w:val="fr-FR"/>
        </w:rPr>
        <w:t xml:space="preserve">aux requérants </w:t>
      </w:r>
      <w:r w:rsidR="000A7D2D" w:rsidRPr="007F3E67">
        <w:rPr>
          <w:lang w:val="fr-FR"/>
        </w:rPr>
        <w:t xml:space="preserve">de </w:t>
      </w:r>
      <w:r w:rsidR="00633749" w:rsidRPr="007F3E67">
        <w:rPr>
          <w:lang w:val="fr-FR"/>
        </w:rPr>
        <w:t xml:space="preserve">lever la tête et de </w:t>
      </w:r>
      <w:r w:rsidR="000A7D2D" w:rsidRPr="007F3E67">
        <w:rPr>
          <w:lang w:val="fr-FR"/>
        </w:rPr>
        <w:t>regarde</w:t>
      </w:r>
      <w:r w:rsidR="00221276" w:rsidRPr="007F3E67">
        <w:rPr>
          <w:lang w:val="fr-FR"/>
        </w:rPr>
        <w:t>r</w:t>
      </w:r>
      <w:r w:rsidR="000A7D2D" w:rsidRPr="007F3E67">
        <w:rPr>
          <w:lang w:val="fr-FR"/>
        </w:rPr>
        <w:t xml:space="preserve"> les agents</w:t>
      </w:r>
      <w:r w:rsidR="00633749" w:rsidRPr="007F3E67">
        <w:rPr>
          <w:lang w:val="fr-FR"/>
        </w:rPr>
        <w:t xml:space="preserve"> </w:t>
      </w:r>
      <w:r w:rsidRPr="007F3E67">
        <w:rPr>
          <w:lang w:val="fr-FR"/>
        </w:rPr>
        <w:t>qui les entouraient ;</w:t>
      </w:r>
      <w:r w:rsidR="0034241C" w:rsidRPr="007F3E67">
        <w:rPr>
          <w:lang w:val="fr-FR"/>
        </w:rPr>
        <w:t xml:space="preserve"> </w:t>
      </w:r>
      <w:r w:rsidRPr="007F3E67">
        <w:rPr>
          <w:lang w:val="fr-FR"/>
        </w:rPr>
        <w:t>c</w:t>
      </w:r>
      <w:r w:rsidR="0034241C" w:rsidRPr="007F3E67">
        <w:rPr>
          <w:lang w:val="fr-FR"/>
        </w:rPr>
        <w:t xml:space="preserve">eux </w:t>
      </w:r>
      <w:r w:rsidRPr="007F3E67">
        <w:rPr>
          <w:lang w:val="fr-FR"/>
        </w:rPr>
        <w:t>qui avaient été arrêtés à</w:t>
      </w:r>
      <w:r w:rsidR="0034241C" w:rsidRPr="007F3E67">
        <w:rPr>
          <w:lang w:val="fr-FR"/>
        </w:rPr>
        <w:t xml:space="preserve"> l</w:t>
      </w:r>
      <w:r w:rsidR="007F3E67" w:rsidRPr="007F3E67">
        <w:rPr>
          <w:lang w:val="fr-FR"/>
        </w:rPr>
        <w:t>’</w:t>
      </w:r>
      <w:r w:rsidR="0034241C" w:rsidRPr="007F3E67">
        <w:rPr>
          <w:lang w:val="fr-FR"/>
        </w:rPr>
        <w:t xml:space="preserve">école Diaz-Pertini </w:t>
      </w:r>
      <w:r w:rsidR="00F60E22" w:rsidRPr="007F3E67">
        <w:rPr>
          <w:lang w:val="fr-FR"/>
        </w:rPr>
        <w:t xml:space="preserve">ont été </w:t>
      </w:r>
      <w:r w:rsidR="0034241C" w:rsidRPr="007F3E67">
        <w:rPr>
          <w:lang w:val="fr-FR"/>
        </w:rPr>
        <w:t xml:space="preserve">marqués </w:t>
      </w:r>
      <w:r w:rsidRPr="007F3E67">
        <w:rPr>
          <w:lang w:val="fr-FR"/>
        </w:rPr>
        <w:t>d</w:t>
      </w:r>
      <w:r w:rsidR="007F3E67" w:rsidRPr="007F3E67">
        <w:rPr>
          <w:lang w:val="fr-FR"/>
        </w:rPr>
        <w:t>’</w:t>
      </w:r>
      <w:r w:rsidR="0034241C" w:rsidRPr="007F3E67">
        <w:rPr>
          <w:lang w:val="fr-FR"/>
        </w:rPr>
        <w:t xml:space="preserve">une croix </w:t>
      </w:r>
      <w:r w:rsidR="00076EAE" w:rsidRPr="007F3E67">
        <w:rPr>
          <w:lang w:val="fr-FR"/>
        </w:rPr>
        <w:t xml:space="preserve">tracée au feutre </w:t>
      </w:r>
      <w:r w:rsidR="000B6939" w:rsidRPr="007F3E67">
        <w:rPr>
          <w:lang w:val="fr-FR"/>
        </w:rPr>
        <w:t>sur</w:t>
      </w:r>
      <w:r w:rsidR="0034241C" w:rsidRPr="007F3E67">
        <w:rPr>
          <w:lang w:val="fr-FR"/>
        </w:rPr>
        <w:t xml:space="preserve"> la joue</w:t>
      </w:r>
      <w:r w:rsidRPr="007F3E67">
        <w:rPr>
          <w:lang w:val="fr-FR"/>
        </w:rPr>
        <w:t> ;</w:t>
      </w:r>
      <w:r w:rsidR="00D21F33" w:rsidRPr="007F3E67">
        <w:rPr>
          <w:lang w:val="fr-FR"/>
        </w:rPr>
        <w:t xml:space="preserve"> </w:t>
      </w:r>
      <w:r w:rsidRPr="007F3E67">
        <w:rPr>
          <w:lang w:val="fr-FR"/>
        </w:rPr>
        <w:t xml:space="preserve">tous les requérants </w:t>
      </w:r>
      <w:r w:rsidR="00F60E22" w:rsidRPr="007F3E67">
        <w:rPr>
          <w:lang w:val="fr-FR"/>
        </w:rPr>
        <w:t xml:space="preserve">ont été </w:t>
      </w:r>
      <w:r w:rsidR="00D21F33" w:rsidRPr="007F3E67">
        <w:rPr>
          <w:lang w:val="fr-FR"/>
        </w:rPr>
        <w:t xml:space="preserve">obligés de se tenir immobiles, bras et jambes écartés, face aux grilles </w:t>
      </w:r>
      <w:r w:rsidR="00F60E22" w:rsidRPr="007F3E67">
        <w:rPr>
          <w:lang w:val="fr-FR"/>
        </w:rPr>
        <w:t>à l</w:t>
      </w:r>
      <w:r w:rsidR="007F3E67" w:rsidRPr="007F3E67">
        <w:rPr>
          <w:lang w:val="fr-FR"/>
        </w:rPr>
        <w:t>’</w:t>
      </w:r>
      <w:r w:rsidR="00F60E22" w:rsidRPr="007F3E67">
        <w:rPr>
          <w:lang w:val="fr-FR"/>
        </w:rPr>
        <w:t>extérieur de la caserne ;</w:t>
      </w:r>
      <w:r w:rsidR="002E4E55" w:rsidRPr="007F3E67">
        <w:rPr>
          <w:lang w:val="fr-FR"/>
        </w:rPr>
        <w:t xml:space="preserve"> </w:t>
      </w:r>
      <w:r w:rsidR="00F60E22" w:rsidRPr="007F3E67">
        <w:rPr>
          <w:lang w:val="fr-FR"/>
        </w:rPr>
        <w:t>l</w:t>
      </w:r>
      <w:r w:rsidR="00B01006" w:rsidRPr="007F3E67">
        <w:rPr>
          <w:lang w:val="fr-FR"/>
        </w:rPr>
        <w:t xml:space="preserve">a même position vexatoire </w:t>
      </w:r>
      <w:r w:rsidR="00F60E22" w:rsidRPr="007F3E67">
        <w:rPr>
          <w:lang w:val="fr-FR"/>
        </w:rPr>
        <w:t xml:space="preserve">a été </w:t>
      </w:r>
      <w:r w:rsidR="00B01006" w:rsidRPr="007F3E67">
        <w:rPr>
          <w:lang w:val="fr-FR"/>
        </w:rPr>
        <w:t xml:space="preserve">imposée </w:t>
      </w:r>
      <w:r w:rsidR="000B6939" w:rsidRPr="007F3E67">
        <w:rPr>
          <w:lang w:val="fr-FR"/>
        </w:rPr>
        <w:t xml:space="preserve">à chacun </w:t>
      </w:r>
      <w:r w:rsidR="00B01006" w:rsidRPr="007F3E67">
        <w:rPr>
          <w:lang w:val="fr-FR"/>
        </w:rPr>
        <w:t>à l</w:t>
      </w:r>
      <w:r w:rsidR="007F3E67" w:rsidRPr="007F3E67">
        <w:rPr>
          <w:lang w:val="fr-FR"/>
        </w:rPr>
        <w:t>’</w:t>
      </w:r>
      <w:r w:rsidR="00B01006" w:rsidRPr="007F3E67">
        <w:rPr>
          <w:lang w:val="fr-FR"/>
        </w:rPr>
        <w:t>intérieur des cellules ;</w:t>
      </w:r>
    </w:p>
    <w:p w:rsidR="00C26137" w:rsidRPr="007F3E67" w:rsidRDefault="00F60E22" w:rsidP="007F3E67">
      <w:pPr>
        <w:pStyle w:val="ECHRPara"/>
        <w:rPr>
          <w:lang w:val="fr-FR"/>
        </w:rPr>
      </w:pPr>
      <w:r w:rsidRPr="007F3E67">
        <w:rPr>
          <w:lang w:val="fr-FR"/>
        </w:rPr>
        <w:t>–  </w:t>
      </w:r>
      <w:r w:rsidR="00076EAE" w:rsidRPr="007F3E67">
        <w:rPr>
          <w:lang w:val="fr-FR"/>
        </w:rPr>
        <w:t>à l</w:t>
      </w:r>
      <w:r w:rsidR="007F3E67" w:rsidRPr="007F3E67">
        <w:rPr>
          <w:lang w:val="fr-FR"/>
        </w:rPr>
        <w:t>’</w:t>
      </w:r>
      <w:r w:rsidR="00076EAE" w:rsidRPr="007F3E67">
        <w:rPr>
          <w:lang w:val="fr-FR"/>
        </w:rPr>
        <w:t xml:space="preserve">intérieur de la caserne, </w:t>
      </w:r>
      <w:r w:rsidRPr="007F3E67">
        <w:rPr>
          <w:lang w:val="fr-FR"/>
        </w:rPr>
        <w:t>les</w:t>
      </w:r>
      <w:r w:rsidR="00595021" w:rsidRPr="007F3E67">
        <w:rPr>
          <w:lang w:val="fr-FR"/>
        </w:rPr>
        <w:t xml:space="preserve"> requérants </w:t>
      </w:r>
      <w:r w:rsidRPr="007F3E67">
        <w:rPr>
          <w:lang w:val="fr-FR"/>
        </w:rPr>
        <w:t>étaient contraints de se déplacer penchés en avant et</w:t>
      </w:r>
      <w:r w:rsidR="00633749" w:rsidRPr="007F3E67">
        <w:rPr>
          <w:lang w:val="fr-FR"/>
        </w:rPr>
        <w:t xml:space="preserve"> </w:t>
      </w:r>
      <w:r w:rsidRPr="007F3E67">
        <w:rPr>
          <w:lang w:val="fr-FR"/>
        </w:rPr>
        <w:t>la tête baissée ;</w:t>
      </w:r>
      <w:r w:rsidR="00D21F33" w:rsidRPr="007F3E67">
        <w:rPr>
          <w:lang w:val="fr-FR"/>
        </w:rPr>
        <w:t xml:space="preserve"> </w:t>
      </w:r>
      <w:r w:rsidRPr="007F3E67">
        <w:rPr>
          <w:lang w:val="fr-FR"/>
        </w:rPr>
        <w:t>d</w:t>
      </w:r>
      <w:r w:rsidR="0075534E" w:rsidRPr="007F3E67">
        <w:rPr>
          <w:lang w:val="fr-FR"/>
        </w:rPr>
        <w:t xml:space="preserve">ans cette position, </w:t>
      </w:r>
      <w:r w:rsidRPr="007F3E67">
        <w:rPr>
          <w:lang w:val="fr-FR"/>
        </w:rPr>
        <w:t>ils</w:t>
      </w:r>
      <w:r w:rsidR="00D21F33" w:rsidRPr="007F3E67">
        <w:rPr>
          <w:lang w:val="fr-FR"/>
        </w:rPr>
        <w:t xml:space="preserve"> </w:t>
      </w:r>
      <w:r w:rsidR="0075534E" w:rsidRPr="007F3E67">
        <w:rPr>
          <w:lang w:val="fr-FR"/>
        </w:rPr>
        <w:t>devaient travers</w:t>
      </w:r>
      <w:r w:rsidR="00076EAE" w:rsidRPr="007F3E67">
        <w:rPr>
          <w:lang w:val="fr-FR"/>
        </w:rPr>
        <w:t>er</w:t>
      </w:r>
      <w:r w:rsidR="0075534E" w:rsidRPr="007F3E67">
        <w:rPr>
          <w:lang w:val="fr-FR"/>
        </w:rPr>
        <w:t xml:space="preserve"> « le tunnel des agents », à savoir le couloir de la caserne </w:t>
      </w:r>
      <w:r w:rsidR="00076EAE" w:rsidRPr="007F3E67">
        <w:rPr>
          <w:lang w:val="fr-FR"/>
        </w:rPr>
        <w:t>dans lequel des</w:t>
      </w:r>
      <w:r w:rsidR="0075534E" w:rsidRPr="007F3E67">
        <w:rPr>
          <w:lang w:val="fr-FR"/>
        </w:rPr>
        <w:t xml:space="preserve"> agents se tenaient </w:t>
      </w:r>
      <w:r w:rsidRPr="007F3E67">
        <w:rPr>
          <w:lang w:val="fr-FR"/>
        </w:rPr>
        <w:t>de chaque</w:t>
      </w:r>
      <w:r w:rsidR="0075534E" w:rsidRPr="007F3E67">
        <w:rPr>
          <w:lang w:val="fr-FR"/>
        </w:rPr>
        <w:t xml:space="preserve"> côté pour</w:t>
      </w:r>
      <w:r w:rsidRPr="007F3E67">
        <w:rPr>
          <w:lang w:val="fr-FR"/>
        </w:rPr>
        <w:t xml:space="preserve"> les</w:t>
      </w:r>
      <w:r w:rsidR="0075534E" w:rsidRPr="007F3E67">
        <w:rPr>
          <w:lang w:val="fr-FR"/>
        </w:rPr>
        <w:t xml:space="preserve"> menacer, </w:t>
      </w:r>
      <w:r w:rsidRPr="007F3E67">
        <w:rPr>
          <w:lang w:val="fr-FR"/>
        </w:rPr>
        <w:t xml:space="preserve">les </w:t>
      </w:r>
      <w:r w:rsidR="000B6939" w:rsidRPr="007F3E67">
        <w:rPr>
          <w:lang w:val="fr-FR"/>
        </w:rPr>
        <w:t>frapper</w:t>
      </w:r>
      <w:r w:rsidR="00867369" w:rsidRPr="007F3E67">
        <w:rPr>
          <w:lang w:val="fr-FR"/>
        </w:rPr>
        <w:t xml:space="preserve"> et</w:t>
      </w:r>
      <w:r w:rsidRPr="007F3E67">
        <w:rPr>
          <w:lang w:val="fr-FR"/>
        </w:rPr>
        <w:t xml:space="preserve"> leur</w:t>
      </w:r>
      <w:r w:rsidR="00867369" w:rsidRPr="007F3E67">
        <w:rPr>
          <w:lang w:val="fr-FR"/>
        </w:rPr>
        <w:t xml:space="preserve"> </w:t>
      </w:r>
      <w:r w:rsidR="0075534E" w:rsidRPr="007F3E67">
        <w:rPr>
          <w:lang w:val="fr-FR"/>
        </w:rPr>
        <w:t xml:space="preserve">lancer </w:t>
      </w:r>
      <w:r w:rsidR="00867369" w:rsidRPr="007F3E67">
        <w:rPr>
          <w:lang w:val="fr-FR"/>
        </w:rPr>
        <w:t>d</w:t>
      </w:r>
      <w:r w:rsidR="0075534E" w:rsidRPr="007F3E67">
        <w:rPr>
          <w:lang w:val="fr-FR"/>
        </w:rPr>
        <w:t xml:space="preserve">es </w:t>
      </w:r>
      <w:r w:rsidR="00867369" w:rsidRPr="007F3E67">
        <w:rPr>
          <w:lang w:val="fr-FR"/>
        </w:rPr>
        <w:t>insultes</w:t>
      </w:r>
      <w:r w:rsidR="000A7D2D" w:rsidRPr="007F3E67">
        <w:rPr>
          <w:lang w:val="fr-FR"/>
        </w:rPr>
        <w:t xml:space="preserve"> à caractère politique</w:t>
      </w:r>
      <w:r w:rsidR="00272404" w:rsidRPr="007F3E67">
        <w:rPr>
          <w:lang w:val="fr-FR"/>
        </w:rPr>
        <w:t xml:space="preserve"> ou</w:t>
      </w:r>
      <w:r w:rsidR="00633749" w:rsidRPr="007F3E67">
        <w:rPr>
          <w:lang w:val="fr-FR"/>
        </w:rPr>
        <w:t xml:space="preserve"> </w:t>
      </w:r>
      <w:r w:rsidR="000A7D2D" w:rsidRPr="007F3E67">
        <w:rPr>
          <w:lang w:val="fr-FR"/>
        </w:rPr>
        <w:t>sexuel</w:t>
      </w:r>
      <w:r w:rsidR="0075534E" w:rsidRPr="007F3E67">
        <w:rPr>
          <w:lang w:val="fr-FR"/>
        </w:rPr>
        <w:t xml:space="preserve"> </w:t>
      </w:r>
      <w:r w:rsidR="002E4E55" w:rsidRPr="007F3E67">
        <w:rPr>
          <w:lang w:val="fr-FR"/>
        </w:rPr>
        <w:t xml:space="preserve">(paragraphe </w:t>
      </w:r>
      <w:r w:rsidR="002E4E55" w:rsidRPr="007F3E67">
        <w:rPr>
          <w:lang w:val="fr-FR"/>
        </w:rPr>
        <w:fldChar w:fldCharType="begin"/>
      </w:r>
      <w:r w:rsidR="002E4E55" w:rsidRPr="007F3E67">
        <w:rPr>
          <w:lang w:val="fr-FR"/>
        </w:rPr>
        <w:instrText xml:space="preserve"> REF tunnel_agents \h </w:instrText>
      </w:r>
      <w:r w:rsidR="007E235C" w:rsidRPr="007F3E67">
        <w:rPr>
          <w:lang w:val="fr-FR"/>
        </w:rPr>
        <w:instrText xml:space="preserve"> \* MERGEFORMAT </w:instrText>
      </w:r>
      <w:r w:rsidR="002E4E55" w:rsidRPr="007F3E67">
        <w:rPr>
          <w:lang w:val="fr-FR"/>
        </w:rPr>
      </w:r>
      <w:r w:rsidR="002E4E55" w:rsidRPr="007F3E67">
        <w:rPr>
          <w:lang w:val="fr-FR"/>
        </w:rPr>
        <w:fldChar w:fldCharType="separate"/>
      </w:r>
      <w:r w:rsidR="007F3E67" w:rsidRPr="007F3E67">
        <w:rPr>
          <w:noProof/>
          <w:szCs w:val="24"/>
          <w:lang w:val="fr-FR"/>
        </w:rPr>
        <w:t>64</w:t>
      </w:r>
      <w:r w:rsidR="002E4E55" w:rsidRPr="007F3E67">
        <w:rPr>
          <w:lang w:val="fr-FR"/>
        </w:rPr>
        <w:fldChar w:fldCharType="end"/>
      </w:r>
      <w:r w:rsidR="002E4E55" w:rsidRPr="007F3E67">
        <w:rPr>
          <w:lang w:val="fr-FR"/>
        </w:rPr>
        <w:t xml:space="preserve"> ci</w:t>
      </w:r>
      <w:r w:rsidRPr="007F3E67">
        <w:rPr>
          <w:lang w:val="fr-FR"/>
        </w:rPr>
        <w:noBreakHyphen/>
      </w:r>
      <w:r w:rsidR="002E4E55" w:rsidRPr="007F3E67">
        <w:rPr>
          <w:lang w:val="fr-FR"/>
        </w:rPr>
        <w:t>dessus)</w:t>
      </w:r>
      <w:r w:rsidR="00272404" w:rsidRPr="007F3E67">
        <w:rPr>
          <w:lang w:val="fr-FR"/>
        </w:rPr>
        <w:t> ;</w:t>
      </w:r>
    </w:p>
    <w:p w:rsidR="008071E4" w:rsidRPr="007F3E67" w:rsidRDefault="00F60E22" w:rsidP="007F3E67">
      <w:pPr>
        <w:pStyle w:val="ECHRPara"/>
        <w:rPr>
          <w:lang w:val="fr-FR"/>
        </w:rPr>
      </w:pPr>
      <w:r w:rsidRPr="007F3E67">
        <w:rPr>
          <w:lang w:val="fr-FR"/>
        </w:rPr>
        <w:t>–  </w:t>
      </w:r>
      <w:r w:rsidR="00D94548" w:rsidRPr="007F3E67">
        <w:rPr>
          <w:lang w:val="fr-FR"/>
        </w:rPr>
        <w:t xml:space="preserve">lors des visites médicales, les requérants </w:t>
      </w:r>
      <w:r w:rsidRPr="007F3E67">
        <w:rPr>
          <w:lang w:val="fr-FR"/>
        </w:rPr>
        <w:t xml:space="preserve">ont </w:t>
      </w:r>
      <w:r w:rsidR="00076EAE" w:rsidRPr="007F3E67">
        <w:rPr>
          <w:lang w:val="fr-FR"/>
        </w:rPr>
        <w:t>été</w:t>
      </w:r>
      <w:r w:rsidRPr="007F3E67">
        <w:rPr>
          <w:lang w:val="fr-FR"/>
        </w:rPr>
        <w:t xml:space="preserve"> </w:t>
      </w:r>
      <w:r w:rsidR="008071E4" w:rsidRPr="007F3E67">
        <w:rPr>
          <w:lang w:val="fr-FR"/>
        </w:rPr>
        <w:t>l</w:t>
      </w:r>
      <w:r w:rsidR="007F3E67" w:rsidRPr="007F3E67">
        <w:rPr>
          <w:lang w:val="fr-FR"/>
        </w:rPr>
        <w:t>’</w:t>
      </w:r>
      <w:r w:rsidR="008071E4" w:rsidRPr="007F3E67">
        <w:rPr>
          <w:lang w:val="fr-FR"/>
        </w:rPr>
        <w:t>objet de commentaires</w:t>
      </w:r>
      <w:r w:rsidRPr="007F3E67">
        <w:rPr>
          <w:lang w:val="fr-FR"/>
        </w:rPr>
        <w:t>, d</w:t>
      </w:r>
      <w:r w:rsidR="007F3E67" w:rsidRPr="007F3E67">
        <w:rPr>
          <w:lang w:val="fr-FR"/>
        </w:rPr>
        <w:t>’</w:t>
      </w:r>
      <w:r w:rsidR="008071E4" w:rsidRPr="007F3E67">
        <w:rPr>
          <w:lang w:val="fr-FR"/>
        </w:rPr>
        <w:t>humiliations</w:t>
      </w:r>
      <w:r w:rsidRPr="007F3E67">
        <w:rPr>
          <w:lang w:val="fr-FR"/>
        </w:rPr>
        <w:t xml:space="preserve"> et</w:t>
      </w:r>
      <w:r w:rsidR="000A7D2D" w:rsidRPr="007F3E67">
        <w:rPr>
          <w:lang w:val="fr-FR"/>
        </w:rPr>
        <w:t xml:space="preserve"> parfois de menaces</w:t>
      </w:r>
      <w:r w:rsidRPr="007F3E67">
        <w:rPr>
          <w:lang w:val="fr-FR"/>
        </w:rPr>
        <w:t xml:space="preserve"> </w:t>
      </w:r>
      <w:r w:rsidR="008071E4" w:rsidRPr="007F3E67">
        <w:rPr>
          <w:lang w:val="fr-FR"/>
        </w:rPr>
        <w:t>de la part d</w:t>
      </w:r>
      <w:r w:rsidR="00595021" w:rsidRPr="007F3E67">
        <w:rPr>
          <w:lang w:val="fr-FR"/>
        </w:rPr>
        <w:t>u personnel médical</w:t>
      </w:r>
      <w:r w:rsidR="000B6939" w:rsidRPr="007F3E67">
        <w:rPr>
          <w:lang w:val="fr-FR"/>
        </w:rPr>
        <w:t xml:space="preserve"> ou des agents de police présents</w:t>
      </w:r>
      <w:r w:rsidR="008071E4" w:rsidRPr="007F3E67">
        <w:rPr>
          <w:lang w:val="fr-FR"/>
        </w:rPr>
        <w:t> ;</w:t>
      </w:r>
    </w:p>
    <w:p w:rsidR="00221276" w:rsidRPr="007F3E67" w:rsidRDefault="00F60E22" w:rsidP="007F3E67">
      <w:pPr>
        <w:pStyle w:val="ECHRPara"/>
        <w:rPr>
          <w:lang w:val="fr-FR"/>
        </w:rPr>
      </w:pPr>
      <w:r w:rsidRPr="007F3E67">
        <w:rPr>
          <w:lang w:val="fr-FR"/>
        </w:rPr>
        <w:t>–  </w:t>
      </w:r>
      <w:r w:rsidR="00221276" w:rsidRPr="007F3E67">
        <w:rPr>
          <w:lang w:val="fr-FR"/>
        </w:rPr>
        <w:t xml:space="preserve">les </w:t>
      </w:r>
      <w:r w:rsidR="00076EAE" w:rsidRPr="007F3E67">
        <w:rPr>
          <w:lang w:val="fr-FR"/>
        </w:rPr>
        <w:t>effets</w:t>
      </w:r>
      <w:r w:rsidR="00221276" w:rsidRPr="007F3E67">
        <w:rPr>
          <w:lang w:val="fr-FR"/>
        </w:rPr>
        <w:t xml:space="preserve"> personnels</w:t>
      </w:r>
      <w:r w:rsidR="00D21F33" w:rsidRPr="007F3E67">
        <w:rPr>
          <w:lang w:val="fr-FR"/>
        </w:rPr>
        <w:t xml:space="preserve"> des requérants</w:t>
      </w:r>
      <w:r w:rsidR="00633749" w:rsidRPr="007F3E67">
        <w:rPr>
          <w:lang w:val="fr-FR"/>
        </w:rPr>
        <w:t xml:space="preserve"> </w:t>
      </w:r>
      <w:r w:rsidRPr="007F3E67">
        <w:rPr>
          <w:lang w:val="fr-FR"/>
        </w:rPr>
        <w:t xml:space="preserve">ont été </w:t>
      </w:r>
      <w:r w:rsidR="006A53A3" w:rsidRPr="007F3E67">
        <w:rPr>
          <w:lang w:val="fr-FR"/>
        </w:rPr>
        <w:t>confisqués</w:t>
      </w:r>
      <w:r w:rsidR="00076EAE" w:rsidRPr="007F3E67">
        <w:rPr>
          <w:lang w:val="fr-FR"/>
        </w:rPr>
        <w:t>, voire</w:t>
      </w:r>
      <w:r w:rsidR="000B6939" w:rsidRPr="007F3E67">
        <w:rPr>
          <w:lang w:val="fr-FR"/>
        </w:rPr>
        <w:t xml:space="preserve"> </w:t>
      </w:r>
      <w:r w:rsidRPr="007F3E67">
        <w:rPr>
          <w:lang w:val="fr-FR"/>
        </w:rPr>
        <w:t>détruits de façon aléatoire</w:t>
      </w:r>
      <w:r w:rsidR="001971A5" w:rsidRPr="007F3E67">
        <w:rPr>
          <w:lang w:val="fr-FR"/>
        </w:rPr>
        <w:t> ;</w:t>
      </w:r>
    </w:p>
    <w:p w:rsidR="00D21F33" w:rsidRPr="007F3E67" w:rsidRDefault="00F60E22" w:rsidP="007F3E67">
      <w:pPr>
        <w:pStyle w:val="ECHRPara"/>
        <w:rPr>
          <w:lang w:val="fr-FR"/>
        </w:rPr>
      </w:pPr>
      <w:r w:rsidRPr="007F3E67">
        <w:rPr>
          <w:lang w:val="fr-FR"/>
        </w:rPr>
        <w:t>–  </w:t>
      </w:r>
      <w:r w:rsidR="00D21F33" w:rsidRPr="007F3E67">
        <w:rPr>
          <w:lang w:val="fr-FR"/>
        </w:rPr>
        <w:t xml:space="preserve">compte tenu </w:t>
      </w:r>
      <w:r w:rsidR="0045375C" w:rsidRPr="007F3E67">
        <w:rPr>
          <w:lang w:val="fr-FR"/>
        </w:rPr>
        <w:t>de l</w:t>
      </w:r>
      <w:r w:rsidR="007F3E67" w:rsidRPr="007F3E67">
        <w:rPr>
          <w:lang w:val="fr-FR"/>
        </w:rPr>
        <w:t>’</w:t>
      </w:r>
      <w:r w:rsidR="0045375C" w:rsidRPr="007F3E67">
        <w:rPr>
          <w:lang w:val="fr-FR"/>
        </w:rPr>
        <w:t>exiguïté de la caserne de Bolzaneto</w:t>
      </w:r>
      <w:r w:rsidR="00D21F33" w:rsidRPr="007F3E67">
        <w:rPr>
          <w:lang w:val="fr-FR"/>
        </w:rPr>
        <w:t xml:space="preserve"> </w:t>
      </w:r>
      <w:r w:rsidR="0027633E" w:rsidRPr="007F3E67">
        <w:rPr>
          <w:lang w:val="fr-FR"/>
        </w:rPr>
        <w:t>ainsi que</w:t>
      </w:r>
      <w:r w:rsidR="00D21F33" w:rsidRPr="007F3E67">
        <w:rPr>
          <w:lang w:val="fr-FR"/>
        </w:rPr>
        <w:t xml:space="preserve"> du nombre </w:t>
      </w:r>
      <w:r w:rsidRPr="007F3E67">
        <w:rPr>
          <w:lang w:val="fr-FR"/>
        </w:rPr>
        <w:t xml:space="preserve">et de la répétition </w:t>
      </w:r>
      <w:r w:rsidR="00D21F33" w:rsidRPr="007F3E67">
        <w:rPr>
          <w:lang w:val="fr-FR"/>
        </w:rPr>
        <w:t>d</w:t>
      </w:r>
      <w:r w:rsidRPr="007F3E67">
        <w:rPr>
          <w:lang w:val="fr-FR"/>
        </w:rPr>
        <w:t xml:space="preserve">es </w:t>
      </w:r>
      <w:r w:rsidR="00D21F33" w:rsidRPr="007F3E67">
        <w:rPr>
          <w:lang w:val="fr-FR"/>
        </w:rPr>
        <w:t>épisodes</w:t>
      </w:r>
      <w:r w:rsidR="006A53A3" w:rsidRPr="007F3E67">
        <w:rPr>
          <w:lang w:val="fr-FR"/>
        </w:rPr>
        <w:t xml:space="preserve"> de brutalité</w:t>
      </w:r>
      <w:r w:rsidR="00D21F33" w:rsidRPr="007F3E67">
        <w:rPr>
          <w:lang w:val="fr-FR"/>
        </w:rPr>
        <w:t xml:space="preserve">, tous les agents et fonctionnaires de police présents </w:t>
      </w:r>
      <w:r w:rsidR="0045375C" w:rsidRPr="007F3E67">
        <w:rPr>
          <w:lang w:val="fr-FR"/>
        </w:rPr>
        <w:t xml:space="preserve">étaient </w:t>
      </w:r>
      <w:r w:rsidR="00D21F33" w:rsidRPr="007F3E67">
        <w:rPr>
          <w:lang w:val="fr-FR"/>
        </w:rPr>
        <w:t>conscients des violence</w:t>
      </w:r>
      <w:r w:rsidR="000B6939" w:rsidRPr="007F3E67">
        <w:rPr>
          <w:lang w:val="fr-FR"/>
        </w:rPr>
        <w:t>s</w:t>
      </w:r>
      <w:r w:rsidR="00D21F33" w:rsidRPr="007F3E67">
        <w:rPr>
          <w:lang w:val="fr-FR"/>
        </w:rPr>
        <w:t xml:space="preserve"> </w:t>
      </w:r>
      <w:r w:rsidR="000B6939" w:rsidRPr="007F3E67">
        <w:rPr>
          <w:lang w:val="fr-FR"/>
        </w:rPr>
        <w:t>commises</w:t>
      </w:r>
      <w:r w:rsidR="006A53A3" w:rsidRPr="007F3E67">
        <w:rPr>
          <w:lang w:val="fr-FR"/>
        </w:rPr>
        <w:t xml:space="preserve"> p</w:t>
      </w:r>
      <w:r w:rsidR="000B6939" w:rsidRPr="007F3E67">
        <w:rPr>
          <w:lang w:val="fr-FR"/>
        </w:rPr>
        <w:t>ar</w:t>
      </w:r>
      <w:r w:rsidR="006A53A3" w:rsidRPr="007F3E67">
        <w:rPr>
          <w:lang w:val="fr-FR"/>
        </w:rPr>
        <w:t xml:space="preserve"> leurs collègues ou </w:t>
      </w:r>
      <w:r w:rsidR="0045375C" w:rsidRPr="007F3E67">
        <w:rPr>
          <w:lang w:val="fr-FR"/>
        </w:rPr>
        <w:t xml:space="preserve">leurs </w:t>
      </w:r>
      <w:r w:rsidR="006A53A3" w:rsidRPr="007F3E67">
        <w:rPr>
          <w:lang w:val="fr-FR"/>
        </w:rPr>
        <w:t>subordonnés</w:t>
      </w:r>
      <w:r w:rsidR="00D21F33" w:rsidRPr="007F3E67">
        <w:rPr>
          <w:lang w:val="fr-FR"/>
        </w:rPr>
        <w:t> ;</w:t>
      </w:r>
    </w:p>
    <w:p w:rsidR="0073580A" w:rsidRPr="007F3E67" w:rsidRDefault="0045375C" w:rsidP="007F3E67">
      <w:pPr>
        <w:pStyle w:val="ECHRPara"/>
        <w:rPr>
          <w:lang w:val="fr-FR"/>
        </w:rPr>
      </w:pPr>
      <w:r w:rsidRPr="007F3E67">
        <w:rPr>
          <w:lang w:val="fr-FR"/>
        </w:rPr>
        <w:t>–  </w:t>
      </w:r>
      <w:r w:rsidR="00B01006" w:rsidRPr="007F3E67">
        <w:rPr>
          <w:lang w:val="fr-FR"/>
        </w:rPr>
        <w:t>l</w:t>
      </w:r>
      <w:r w:rsidR="00142025" w:rsidRPr="007F3E67">
        <w:rPr>
          <w:lang w:val="fr-FR"/>
        </w:rPr>
        <w:t>es faits</w:t>
      </w:r>
      <w:r w:rsidR="00B01006" w:rsidRPr="007F3E67">
        <w:rPr>
          <w:lang w:val="fr-FR"/>
        </w:rPr>
        <w:t xml:space="preserve"> </w:t>
      </w:r>
      <w:r w:rsidR="00C82BC6" w:rsidRPr="007F3E67">
        <w:rPr>
          <w:lang w:val="fr-FR"/>
        </w:rPr>
        <w:t xml:space="preserve">en cause </w:t>
      </w:r>
      <w:r w:rsidR="00322416" w:rsidRPr="007F3E67">
        <w:rPr>
          <w:rStyle w:val="ECHRParaChar"/>
          <w:lang w:val="fr-FR"/>
        </w:rPr>
        <w:t xml:space="preserve">ne peuvent </w:t>
      </w:r>
      <w:r w:rsidR="0073580A" w:rsidRPr="007F3E67">
        <w:rPr>
          <w:rStyle w:val="ECHRParaChar"/>
          <w:lang w:val="fr-FR"/>
        </w:rPr>
        <w:t>se résumer</w:t>
      </w:r>
      <w:r w:rsidR="00322416" w:rsidRPr="007F3E67">
        <w:rPr>
          <w:rStyle w:val="ECHRParaChar"/>
          <w:lang w:val="fr-FR"/>
        </w:rPr>
        <w:t xml:space="preserve"> à une période </w:t>
      </w:r>
      <w:r w:rsidR="0073580A" w:rsidRPr="007F3E67">
        <w:rPr>
          <w:rStyle w:val="ECHRParaChar"/>
          <w:lang w:val="fr-FR"/>
        </w:rPr>
        <w:t>donnée</w:t>
      </w:r>
      <w:r w:rsidR="00322416" w:rsidRPr="007F3E67">
        <w:rPr>
          <w:rStyle w:val="ECHRParaChar"/>
          <w:lang w:val="fr-FR"/>
        </w:rPr>
        <w:t xml:space="preserve"> au cours de laquelle, sans que cela ne puisse aucunement le justifier, la tension et les passions exacerbées auraient conduit à de tels excès</w:t>
      </w:r>
      <w:r w:rsidR="0043158B" w:rsidRPr="007F3E67">
        <w:rPr>
          <w:rStyle w:val="ECHRParaChar"/>
          <w:lang w:val="fr-FR"/>
        </w:rPr>
        <w:t> </w:t>
      </w:r>
      <w:r w:rsidR="00322416" w:rsidRPr="007F3E67">
        <w:rPr>
          <w:rStyle w:val="ECHRParaChar"/>
          <w:lang w:val="fr-FR"/>
        </w:rPr>
        <w:t xml:space="preserve">: </w:t>
      </w:r>
      <w:r w:rsidR="00C82BC6" w:rsidRPr="007F3E67">
        <w:rPr>
          <w:rStyle w:val="ECHRParaChar"/>
          <w:lang w:val="fr-FR"/>
        </w:rPr>
        <w:t xml:space="preserve">ces faits </w:t>
      </w:r>
      <w:r w:rsidR="00142025" w:rsidRPr="007F3E67">
        <w:rPr>
          <w:lang w:val="fr-FR"/>
        </w:rPr>
        <w:t xml:space="preserve">se </w:t>
      </w:r>
      <w:r w:rsidR="00C82BC6" w:rsidRPr="007F3E67">
        <w:rPr>
          <w:lang w:val="fr-FR"/>
        </w:rPr>
        <w:t xml:space="preserve">sont déroulés </w:t>
      </w:r>
      <w:r w:rsidR="00E46684" w:rsidRPr="007F3E67">
        <w:rPr>
          <w:lang w:val="fr-FR"/>
        </w:rPr>
        <w:t>pendant un laps</w:t>
      </w:r>
      <w:r w:rsidR="006A53A3" w:rsidRPr="007F3E67">
        <w:rPr>
          <w:lang w:val="fr-FR"/>
        </w:rPr>
        <w:t xml:space="preserve"> de temps </w:t>
      </w:r>
      <w:r w:rsidR="00182005" w:rsidRPr="007F3E67">
        <w:rPr>
          <w:lang w:val="fr-FR"/>
        </w:rPr>
        <w:t>considérable</w:t>
      </w:r>
      <w:r w:rsidR="006A53A3" w:rsidRPr="007F3E67">
        <w:rPr>
          <w:lang w:val="fr-FR"/>
        </w:rPr>
        <w:t xml:space="preserve">, </w:t>
      </w:r>
      <w:r w:rsidR="00E46684" w:rsidRPr="007F3E67">
        <w:rPr>
          <w:lang w:val="fr-FR"/>
        </w:rPr>
        <w:t xml:space="preserve">à savoir </w:t>
      </w:r>
      <w:r w:rsidR="00142025" w:rsidRPr="007F3E67">
        <w:rPr>
          <w:lang w:val="fr-FR"/>
        </w:rPr>
        <w:t>entre la nuit du 20</w:t>
      </w:r>
      <w:r w:rsidR="00F0487A" w:rsidRPr="007F3E67">
        <w:rPr>
          <w:lang w:val="fr-FR"/>
        </w:rPr>
        <w:t xml:space="preserve"> au 21</w:t>
      </w:r>
      <w:r w:rsidR="00E46684" w:rsidRPr="007F3E67">
        <w:rPr>
          <w:lang w:val="fr-FR"/>
        </w:rPr>
        <w:t> </w:t>
      </w:r>
      <w:r w:rsidR="00142025" w:rsidRPr="007F3E67">
        <w:rPr>
          <w:lang w:val="fr-FR"/>
        </w:rPr>
        <w:t xml:space="preserve">juillet </w:t>
      </w:r>
      <w:r w:rsidR="006A53A3" w:rsidRPr="007F3E67">
        <w:rPr>
          <w:lang w:val="fr-FR"/>
        </w:rPr>
        <w:t>et le</w:t>
      </w:r>
      <w:r w:rsidR="00142025" w:rsidRPr="007F3E67">
        <w:rPr>
          <w:lang w:val="fr-FR"/>
        </w:rPr>
        <w:t xml:space="preserve"> 23 juillet, </w:t>
      </w:r>
      <w:r w:rsidR="0073580A" w:rsidRPr="007F3E67">
        <w:rPr>
          <w:lang w:val="fr-FR"/>
        </w:rPr>
        <w:t>ce qui signifie que plusieurs équipes d</w:t>
      </w:r>
      <w:r w:rsidR="007F3E67" w:rsidRPr="007F3E67">
        <w:rPr>
          <w:lang w:val="fr-FR"/>
        </w:rPr>
        <w:t>’</w:t>
      </w:r>
      <w:r w:rsidR="0073580A" w:rsidRPr="007F3E67">
        <w:rPr>
          <w:lang w:val="fr-FR"/>
        </w:rPr>
        <w:t>agents se sont succédé</w:t>
      </w:r>
      <w:r w:rsidR="00FA14C8" w:rsidRPr="007F3E67">
        <w:rPr>
          <w:lang w:val="fr-FR"/>
        </w:rPr>
        <w:t>es</w:t>
      </w:r>
      <w:r w:rsidR="0073580A" w:rsidRPr="007F3E67">
        <w:rPr>
          <w:lang w:val="fr-FR"/>
        </w:rPr>
        <w:t xml:space="preserve"> au sein de la caserne sans aucune diminution significative en fréquence ou en intensité</w:t>
      </w:r>
      <w:r w:rsidR="0073580A" w:rsidRPr="007F3E67" w:rsidDel="0054547C">
        <w:rPr>
          <w:lang w:val="fr-FR"/>
        </w:rPr>
        <w:t xml:space="preserve"> </w:t>
      </w:r>
      <w:r w:rsidR="0073580A" w:rsidRPr="007F3E67">
        <w:rPr>
          <w:lang w:val="fr-FR"/>
        </w:rPr>
        <w:t>des épisodes de violence.</w:t>
      </w:r>
    </w:p>
    <w:p w:rsidR="00FA1008" w:rsidRPr="007F3E67" w:rsidRDefault="0073580A" w:rsidP="007F3E67">
      <w:pPr>
        <w:pStyle w:val="ECHRPara"/>
        <w:rPr>
          <w:lang w:val="fr-FR"/>
        </w:rPr>
      </w:pPr>
      <w:r w:rsidRPr="007F3E67">
        <w:rPr>
          <w:lang w:val="fr-FR"/>
        </w:rPr>
        <w:fldChar w:fldCharType="begin"/>
      </w:r>
      <w:r w:rsidRPr="007F3E67">
        <w:rPr>
          <w:lang w:val="fr-FR"/>
        </w:rPr>
        <w:instrText xml:space="preserve"> SEQ level0 \*arabic </w:instrText>
      </w:r>
      <w:r w:rsidRPr="007F3E67">
        <w:rPr>
          <w:lang w:val="fr-FR"/>
        </w:rPr>
        <w:fldChar w:fldCharType="separate"/>
      </w:r>
      <w:r w:rsidR="007F3E67" w:rsidRPr="007F3E67">
        <w:rPr>
          <w:noProof/>
          <w:lang w:val="fr-FR"/>
        </w:rPr>
        <w:t>129</w:t>
      </w:r>
      <w:r w:rsidRPr="007F3E67">
        <w:rPr>
          <w:lang w:val="fr-FR"/>
        </w:rPr>
        <w:fldChar w:fldCharType="end"/>
      </w:r>
      <w:r w:rsidRPr="007F3E67">
        <w:rPr>
          <w:lang w:val="fr-FR"/>
        </w:rPr>
        <w:t>.  En ce qui concerne les récits individuels des requérants, la Cour ne peut que constater la gravité des faits décrits par les intéressés. Ce qui ressort du matériel probatoire démontre nettement que les requérants, qui n</w:t>
      </w:r>
      <w:r w:rsidR="007F3E67" w:rsidRPr="007F3E67">
        <w:rPr>
          <w:lang w:val="fr-FR"/>
        </w:rPr>
        <w:t>’</w:t>
      </w:r>
      <w:r w:rsidRPr="007F3E67">
        <w:rPr>
          <w:lang w:val="fr-FR"/>
        </w:rPr>
        <w:t>ont opposé aucune forme de résistance physique aux agents, ont été victimes d</w:t>
      </w:r>
      <w:r w:rsidR="007F3E67" w:rsidRPr="007F3E67">
        <w:rPr>
          <w:lang w:val="fr-FR"/>
        </w:rPr>
        <w:t>’</w:t>
      </w:r>
      <w:r w:rsidRPr="007F3E67">
        <w:rPr>
          <w:lang w:val="fr-FR"/>
        </w:rPr>
        <w:t>une succession continue et systématique d</w:t>
      </w:r>
      <w:r w:rsidR="007F3E67" w:rsidRPr="007F3E67">
        <w:rPr>
          <w:lang w:val="fr-FR"/>
        </w:rPr>
        <w:t>’</w:t>
      </w:r>
      <w:r w:rsidRPr="007F3E67">
        <w:rPr>
          <w:lang w:val="fr-FR"/>
        </w:rPr>
        <w:t>actes de violence provoquant de vives souffrances physiques et psychologiques (</w:t>
      </w:r>
      <w:r w:rsidRPr="007F3E67">
        <w:rPr>
          <w:i/>
          <w:lang w:val="fr-FR"/>
        </w:rPr>
        <w:t>Gutsanovi c. Bulgarie</w:t>
      </w:r>
      <w:r w:rsidRPr="007F3E67">
        <w:rPr>
          <w:lang w:val="fr-FR"/>
        </w:rPr>
        <w:t>, n</w:t>
      </w:r>
      <w:r w:rsidRPr="007F3E67">
        <w:rPr>
          <w:vertAlign w:val="superscript"/>
          <w:lang w:val="fr-FR"/>
        </w:rPr>
        <w:t>o </w:t>
      </w:r>
      <w:r w:rsidRPr="007F3E67">
        <w:rPr>
          <w:lang w:val="fr-FR"/>
        </w:rPr>
        <w:t xml:space="preserve">34529/10, § 126, CEDH 2013 (extraits)). </w:t>
      </w:r>
      <w:r w:rsidR="00525389" w:rsidRPr="007F3E67">
        <w:rPr>
          <w:lang w:val="fr-FR"/>
        </w:rPr>
        <w:t>C</w:t>
      </w:r>
      <w:r w:rsidR="00261CF2" w:rsidRPr="007F3E67">
        <w:rPr>
          <w:lang w:val="fr-FR"/>
        </w:rPr>
        <w:t xml:space="preserve">es </w:t>
      </w:r>
      <w:r w:rsidR="006A53A3" w:rsidRPr="007F3E67">
        <w:rPr>
          <w:lang w:val="fr-FR"/>
        </w:rPr>
        <w:t>violences</w:t>
      </w:r>
      <w:r w:rsidR="00261CF2" w:rsidRPr="007F3E67">
        <w:rPr>
          <w:lang w:val="fr-FR"/>
        </w:rPr>
        <w:t xml:space="preserve"> </w:t>
      </w:r>
      <w:r w:rsidR="00F3361B" w:rsidRPr="007F3E67">
        <w:rPr>
          <w:lang w:val="fr-FR"/>
        </w:rPr>
        <w:t xml:space="preserve">ont été </w:t>
      </w:r>
      <w:r w:rsidR="00261CF2" w:rsidRPr="007F3E67">
        <w:rPr>
          <w:lang w:val="fr-FR"/>
        </w:rPr>
        <w:t>infligées à chaque individu dans un contexte général d</w:t>
      </w:r>
      <w:r w:rsidR="007F3E67" w:rsidRPr="007F3E67">
        <w:rPr>
          <w:lang w:val="fr-FR"/>
        </w:rPr>
        <w:t>’</w:t>
      </w:r>
      <w:r w:rsidR="00261CF2" w:rsidRPr="007F3E67">
        <w:rPr>
          <w:lang w:val="fr-FR"/>
        </w:rPr>
        <w:t>emploi excessif, indiscriminé et manifestement disproportionné de la force</w:t>
      </w:r>
      <w:r w:rsidR="00875D76" w:rsidRPr="007F3E67">
        <w:rPr>
          <w:lang w:val="fr-FR"/>
        </w:rPr>
        <w:t xml:space="preserve"> (</w:t>
      </w:r>
      <w:r w:rsidR="00B0429B" w:rsidRPr="007F3E67">
        <w:rPr>
          <w:i/>
          <w:lang w:val="fr-FR"/>
        </w:rPr>
        <w:t>Bouyid</w:t>
      </w:r>
      <w:r w:rsidR="00B01006" w:rsidRPr="007F3E67">
        <w:rPr>
          <w:lang w:val="fr-FR"/>
        </w:rPr>
        <w:t>, précité</w:t>
      </w:r>
      <w:r w:rsidR="00B0429B" w:rsidRPr="007F3E67">
        <w:rPr>
          <w:lang w:val="fr-FR"/>
        </w:rPr>
        <w:t>, § 101</w:t>
      </w:r>
      <w:r w:rsidR="00875D76" w:rsidRPr="007F3E67">
        <w:rPr>
          <w:lang w:val="fr-FR"/>
        </w:rPr>
        <w:t>)</w:t>
      </w:r>
      <w:r w:rsidR="009F7F7D" w:rsidRPr="007F3E67">
        <w:rPr>
          <w:lang w:val="fr-FR"/>
        </w:rPr>
        <w:t>.</w:t>
      </w:r>
    </w:p>
    <w:p w:rsidR="0027633E" w:rsidRPr="007F3E67" w:rsidRDefault="0027633E" w:rsidP="007F3E67">
      <w:pPr>
        <w:pStyle w:val="ECHRPara"/>
        <w:rPr>
          <w:lang w:val="fr-FR"/>
        </w:rPr>
      </w:pPr>
      <w:r w:rsidRPr="007F3E67">
        <w:rPr>
          <w:lang w:val="fr-FR"/>
        </w:rPr>
        <w:fldChar w:fldCharType="begin"/>
      </w:r>
      <w:r w:rsidRPr="007F3E67">
        <w:rPr>
          <w:lang w:val="fr-FR"/>
        </w:rPr>
        <w:instrText xml:space="preserve"> SEQ level0 \*arabic </w:instrText>
      </w:r>
      <w:r w:rsidRPr="007F3E67">
        <w:rPr>
          <w:lang w:val="fr-FR"/>
        </w:rPr>
        <w:fldChar w:fldCharType="separate"/>
      </w:r>
      <w:r w:rsidR="007F3E67" w:rsidRPr="007F3E67">
        <w:rPr>
          <w:noProof/>
          <w:lang w:val="fr-FR"/>
        </w:rPr>
        <w:t>130</w:t>
      </w:r>
      <w:r w:rsidRPr="007F3E67">
        <w:rPr>
          <w:lang w:val="fr-FR"/>
        </w:rPr>
        <w:fldChar w:fldCharType="end"/>
      </w:r>
      <w:r w:rsidRPr="007F3E67">
        <w:rPr>
          <w:lang w:val="fr-FR"/>
        </w:rPr>
        <w:t>.  </w:t>
      </w:r>
      <w:r w:rsidRPr="007F3E67">
        <w:rPr>
          <w:lang w:val="fr-FR" w:eastAsia="fr-FR"/>
        </w:rPr>
        <w:t>Ces épisodes ont eu lieu dans un contexte délibérément tendu, confus et bruyant, les agents criant à l</w:t>
      </w:r>
      <w:r w:rsidR="007F3E67" w:rsidRPr="007F3E67">
        <w:rPr>
          <w:lang w:val="fr-FR" w:eastAsia="fr-FR"/>
        </w:rPr>
        <w:t>’</w:t>
      </w:r>
      <w:r w:rsidRPr="007F3E67">
        <w:rPr>
          <w:lang w:val="fr-FR" w:eastAsia="fr-FR"/>
        </w:rPr>
        <w:t>encontre des individus arrêtés et entonnant de temps en temps des chants fascistes. Dans son arrêt n</w:t>
      </w:r>
      <w:r w:rsidRPr="007F3E67">
        <w:rPr>
          <w:vertAlign w:val="superscript"/>
          <w:lang w:val="fr-FR" w:eastAsia="fr-FR"/>
        </w:rPr>
        <w:t>o</w:t>
      </w:r>
      <w:r w:rsidRPr="007F3E67">
        <w:rPr>
          <w:lang w:val="fr-FR" w:eastAsia="fr-FR"/>
        </w:rPr>
        <w:t xml:space="preserve"> 678/10 du 15 avril 2011, la cour d</w:t>
      </w:r>
      <w:r w:rsidR="007F3E67" w:rsidRPr="007F3E67">
        <w:rPr>
          <w:lang w:val="fr-FR" w:eastAsia="fr-FR"/>
        </w:rPr>
        <w:t>’</w:t>
      </w:r>
      <w:r w:rsidRPr="007F3E67">
        <w:rPr>
          <w:lang w:val="fr-FR" w:eastAsia="fr-FR"/>
        </w:rPr>
        <w:t>appel de Gênes a établi que la violence physique et morale, loin d</w:t>
      </w:r>
      <w:r w:rsidR="007F3E67" w:rsidRPr="007F3E67">
        <w:rPr>
          <w:lang w:val="fr-FR" w:eastAsia="fr-FR"/>
        </w:rPr>
        <w:t>’</w:t>
      </w:r>
      <w:r w:rsidRPr="007F3E67">
        <w:rPr>
          <w:lang w:val="fr-FR" w:eastAsia="fr-FR"/>
        </w:rPr>
        <w:t>être épisodique, a, au contraire, été indiscriminée, constante et en quelque sorte organisée, ce qui a eu pour résultat de conduire à « une sorte de processus de déshumanisation réduisant l</w:t>
      </w:r>
      <w:r w:rsidR="007F3E67" w:rsidRPr="007F3E67">
        <w:rPr>
          <w:lang w:val="fr-FR" w:eastAsia="fr-FR"/>
        </w:rPr>
        <w:t>’</w:t>
      </w:r>
      <w:r w:rsidRPr="007F3E67">
        <w:rPr>
          <w:lang w:val="fr-FR" w:eastAsia="fr-FR"/>
        </w:rPr>
        <w:t xml:space="preserve">individu à une chose sur laquelle exercer la violence » (paragraphe </w:t>
      </w:r>
      <w:r w:rsidRPr="007F3E67">
        <w:rPr>
          <w:lang w:val="fr-FR" w:eastAsia="fr-FR"/>
        </w:rPr>
        <w:fldChar w:fldCharType="begin"/>
      </w:r>
      <w:r w:rsidRPr="007F3E67">
        <w:rPr>
          <w:lang w:val="fr-FR" w:eastAsia="fr-FR"/>
        </w:rPr>
        <w:instrText xml:space="preserve"> REF FINALITE_MAUVAIS_TRAITEMENTS \h </w:instrText>
      </w:r>
      <w:r w:rsidRPr="007F3E67">
        <w:rPr>
          <w:lang w:val="fr-FR" w:eastAsia="fr-FR"/>
        </w:rPr>
      </w:r>
      <w:r w:rsidRPr="007F3E67">
        <w:rPr>
          <w:lang w:val="fr-FR" w:eastAsia="fr-FR"/>
        </w:rPr>
        <w:fldChar w:fldCharType="separate"/>
      </w:r>
      <w:r w:rsidR="007F3E67" w:rsidRPr="007F3E67">
        <w:rPr>
          <w:noProof/>
          <w:lang w:val="fr-FR"/>
        </w:rPr>
        <w:t>67</w:t>
      </w:r>
      <w:r w:rsidRPr="007F3E67">
        <w:rPr>
          <w:lang w:val="fr-FR" w:eastAsia="fr-FR"/>
        </w:rPr>
        <w:fldChar w:fldCharType="end"/>
      </w:r>
      <w:r w:rsidRPr="007F3E67">
        <w:rPr>
          <w:lang w:val="fr-FR" w:eastAsia="fr-FR"/>
        </w:rPr>
        <w:t xml:space="preserve"> ci-dessus).</w:t>
      </w:r>
    </w:p>
    <w:p w:rsidR="00741C4E" w:rsidRPr="007F3E67" w:rsidRDefault="00C33BAA" w:rsidP="007F3E67">
      <w:pPr>
        <w:pStyle w:val="ECHRPara"/>
        <w:rPr>
          <w:rStyle w:val="ECHRParaChar"/>
          <w:lang w:val="fr-FR"/>
        </w:rPr>
      </w:pPr>
      <w:r w:rsidRPr="007F3E67">
        <w:rPr>
          <w:lang w:val="fr-FR"/>
        </w:rPr>
        <w:fldChar w:fldCharType="begin"/>
      </w:r>
      <w:r w:rsidRPr="007F3E67">
        <w:rPr>
          <w:lang w:val="fr-FR"/>
        </w:rPr>
        <w:instrText xml:space="preserve"> SEQ level0 \*arabic </w:instrText>
      </w:r>
      <w:r w:rsidRPr="007F3E67">
        <w:rPr>
          <w:lang w:val="fr-FR"/>
        </w:rPr>
        <w:fldChar w:fldCharType="separate"/>
      </w:r>
      <w:r w:rsidR="007F3E67" w:rsidRPr="007F3E67">
        <w:rPr>
          <w:noProof/>
          <w:lang w:val="fr-FR"/>
        </w:rPr>
        <w:t>131</w:t>
      </w:r>
      <w:r w:rsidRPr="007F3E67">
        <w:rPr>
          <w:lang w:val="fr-FR"/>
        </w:rPr>
        <w:fldChar w:fldCharType="end"/>
      </w:r>
      <w:r w:rsidRPr="007F3E67">
        <w:rPr>
          <w:lang w:val="fr-FR"/>
        </w:rPr>
        <w:t>.  </w:t>
      </w:r>
      <w:r w:rsidR="00F3361B" w:rsidRPr="007F3E67">
        <w:rPr>
          <w:lang w:val="fr-FR"/>
        </w:rPr>
        <w:t>L</w:t>
      </w:r>
      <w:r w:rsidR="00ED2D41" w:rsidRPr="007F3E67">
        <w:rPr>
          <w:lang w:val="fr-FR"/>
        </w:rPr>
        <w:t>a gravité des</w:t>
      </w:r>
      <w:r w:rsidR="00F3361B" w:rsidRPr="007F3E67">
        <w:rPr>
          <w:lang w:val="fr-FR"/>
        </w:rPr>
        <w:t xml:space="preserve"> faits </w:t>
      </w:r>
      <w:r w:rsidR="000C3718" w:rsidRPr="007F3E67">
        <w:rPr>
          <w:lang w:val="fr-FR"/>
        </w:rPr>
        <w:t>de la présente espèce</w:t>
      </w:r>
      <w:r w:rsidR="00F3361B" w:rsidRPr="007F3E67">
        <w:rPr>
          <w:lang w:val="fr-FR"/>
        </w:rPr>
        <w:t xml:space="preserve"> réside également dans un autre aspect</w:t>
      </w:r>
      <w:r w:rsidR="00B01006" w:rsidRPr="007F3E67">
        <w:rPr>
          <w:lang w:val="fr-FR"/>
        </w:rPr>
        <w:t xml:space="preserve"> qui</w:t>
      </w:r>
      <w:r w:rsidR="00A91D0A" w:rsidRPr="007F3E67">
        <w:rPr>
          <w:lang w:val="fr-FR"/>
        </w:rPr>
        <w:t xml:space="preserve">, </w:t>
      </w:r>
      <w:r w:rsidR="004559E9" w:rsidRPr="007F3E67">
        <w:rPr>
          <w:lang w:val="fr-FR"/>
        </w:rPr>
        <w:t>aux yeux de</w:t>
      </w:r>
      <w:r w:rsidR="00F3361B" w:rsidRPr="007F3E67">
        <w:rPr>
          <w:lang w:val="fr-FR"/>
        </w:rPr>
        <w:t xml:space="preserve"> la Cour</w:t>
      </w:r>
      <w:r w:rsidR="00B01006" w:rsidRPr="007F3E67">
        <w:rPr>
          <w:lang w:val="fr-FR"/>
        </w:rPr>
        <w:t>,</w:t>
      </w:r>
      <w:r w:rsidR="00F3361B" w:rsidRPr="007F3E67">
        <w:rPr>
          <w:lang w:val="fr-FR"/>
        </w:rPr>
        <w:t xml:space="preserve"> </w:t>
      </w:r>
      <w:r w:rsidR="00B63917" w:rsidRPr="007F3E67">
        <w:rPr>
          <w:lang w:val="fr-FR"/>
        </w:rPr>
        <w:t xml:space="preserve">est </w:t>
      </w:r>
      <w:r w:rsidR="00F0487A" w:rsidRPr="007F3E67">
        <w:rPr>
          <w:lang w:val="fr-FR"/>
        </w:rPr>
        <w:t xml:space="preserve">tout aussi </w:t>
      </w:r>
      <w:r w:rsidR="00AC01AA" w:rsidRPr="007F3E67">
        <w:rPr>
          <w:lang w:val="fr-FR"/>
        </w:rPr>
        <w:t>important</w:t>
      </w:r>
      <w:r w:rsidR="00ED2D41" w:rsidRPr="007F3E67">
        <w:rPr>
          <w:lang w:val="fr-FR"/>
        </w:rPr>
        <w:t>.</w:t>
      </w:r>
      <w:r w:rsidR="009E56D5" w:rsidRPr="007F3E67">
        <w:rPr>
          <w:lang w:val="fr-FR"/>
        </w:rPr>
        <w:t xml:space="preserve"> En effet, </w:t>
      </w:r>
      <w:r w:rsidR="006D4E59" w:rsidRPr="007F3E67">
        <w:rPr>
          <w:lang w:val="fr-FR"/>
        </w:rPr>
        <w:t>elle</w:t>
      </w:r>
      <w:r w:rsidR="009E56D5" w:rsidRPr="007F3E67">
        <w:rPr>
          <w:lang w:val="fr-FR"/>
        </w:rPr>
        <w:t xml:space="preserve"> </w:t>
      </w:r>
      <w:r w:rsidR="00177E01" w:rsidRPr="007F3E67">
        <w:rPr>
          <w:lang w:val="fr-FR"/>
        </w:rPr>
        <w:t xml:space="preserve">a rappelé </w:t>
      </w:r>
      <w:r w:rsidR="009E56D5" w:rsidRPr="007F3E67">
        <w:rPr>
          <w:lang w:val="fr-FR"/>
        </w:rPr>
        <w:t>à maintes reprises</w:t>
      </w:r>
      <w:r w:rsidR="00B01006" w:rsidRPr="007F3E67">
        <w:rPr>
          <w:lang w:val="fr-FR"/>
        </w:rPr>
        <w:t xml:space="preserve"> que</w:t>
      </w:r>
      <w:r w:rsidR="009E56D5" w:rsidRPr="007F3E67">
        <w:rPr>
          <w:lang w:val="fr-FR"/>
        </w:rPr>
        <w:t xml:space="preserve"> la situation de vulnérabilité dans laquelle se trouvent les personnes placées en garde à vue impose aux autorités le devoir de </w:t>
      </w:r>
      <w:r w:rsidR="009E56D5" w:rsidRPr="007F3E67">
        <w:rPr>
          <w:rStyle w:val="ECHRParaChar"/>
          <w:lang w:val="fr-FR"/>
        </w:rPr>
        <w:t>les protéger (</w:t>
      </w:r>
      <w:r w:rsidR="009E56D5" w:rsidRPr="007F3E67">
        <w:rPr>
          <w:rStyle w:val="ECHRParaChar"/>
          <w:i/>
          <w:lang w:val="fr-FR"/>
        </w:rPr>
        <w:t>idem</w:t>
      </w:r>
      <w:r w:rsidR="009E56D5" w:rsidRPr="007F3E67">
        <w:rPr>
          <w:rStyle w:val="ECHRParaChar"/>
          <w:lang w:val="fr-FR"/>
        </w:rPr>
        <w:t>, § 107)</w:t>
      </w:r>
      <w:r w:rsidR="00B01006" w:rsidRPr="007F3E67">
        <w:rPr>
          <w:rStyle w:val="ECHRParaChar"/>
          <w:lang w:val="fr-FR"/>
        </w:rPr>
        <w:t>. Or</w:t>
      </w:r>
      <w:r w:rsidR="007B5DE6" w:rsidRPr="007F3E67">
        <w:rPr>
          <w:rStyle w:val="ECHRParaChar"/>
          <w:lang w:val="fr-FR"/>
        </w:rPr>
        <w:t xml:space="preserve"> </w:t>
      </w:r>
      <w:r w:rsidR="00741C4E" w:rsidRPr="007F3E67">
        <w:rPr>
          <w:rStyle w:val="ECHRParaChar"/>
          <w:lang w:val="fr-FR"/>
        </w:rPr>
        <w:t>l</w:t>
      </w:r>
      <w:r w:rsidR="007F3E67" w:rsidRPr="007F3E67">
        <w:rPr>
          <w:rStyle w:val="ECHRParaChar"/>
          <w:lang w:val="fr-FR"/>
        </w:rPr>
        <w:t>’</w:t>
      </w:r>
      <w:r w:rsidR="00741C4E" w:rsidRPr="007F3E67">
        <w:rPr>
          <w:rStyle w:val="ECHRParaChar"/>
          <w:lang w:val="fr-FR"/>
        </w:rPr>
        <w:t>ensemble des faits</w:t>
      </w:r>
      <w:r w:rsidR="00525389" w:rsidRPr="007F3E67">
        <w:rPr>
          <w:rStyle w:val="ECHRParaChar"/>
          <w:lang w:val="fr-FR"/>
        </w:rPr>
        <w:t xml:space="preserve"> litigieux</w:t>
      </w:r>
      <w:r w:rsidR="00741C4E" w:rsidRPr="007F3E67">
        <w:rPr>
          <w:rStyle w:val="ECHRParaChar"/>
          <w:lang w:val="fr-FR"/>
        </w:rPr>
        <w:t xml:space="preserve"> démontre </w:t>
      </w:r>
      <w:r w:rsidR="007B5DE6" w:rsidRPr="007F3E67">
        <w:rPr>
          <w:rStyle w:val="ECHRParaChar"/>
          <w:lang w:val="fr-FR"/>
        </w:rPr>
        <w:t>que</w:t>
      </w:r>
      <w:r w:rsidR="00741C4E" w:rsidRPr="007F3E67">
        <w:rPr>
          <w:rStyle w:val="ECHRParaChar"/>
          <w:lang w:val="fr-FR"/>
        </w:rPr>
        <w:t xml:space="preserve"> les </w:t>
      </w:r>
      <w:r w:rsidR="006D4E59" w:rsidRPr="007F3E67">
        <w:rPr>
          <w:rStyle w:val="ECHRParaChar"/>
          <w:lang w:val="fr-FR"/>
        </w:rPr>
        <w:t>membres de</w:t>
      </w:r>
      <w:r w:rsidR="00F3361B" w:rsidRPr="007F3E67">
        <w:rPr>
          <w:rStyle w:val="ECHRParaChar"/>
          <w:lang w:val="fr-FR"/>
        </w:rPr>
        <w:t xml:space="preserve"> la police </w:t>
      </w:r>
      <w:r w:rsidR="006D4E59" w:rsidRPr="007F3E67">
        <w:rPr>
          <w:rStyle w:val="ECHRParaChar"/>
          <w:lang w:val="fr-FR"/>
        </w:rPr>
        <w:t>présents à l</w:t>
      </w:r>
      <w:r w:rsidR="007F3E67" w:rsidRPr="007F3E67">
        <w:rPr>
          <w:rStyle w:val="ECHRParaChar"/>
          <w:lang w:val="fr-FR"/>
        </w:rPr>
        <w:t>’</w:t>
      </w:r>
      <w:r w:rsidR="006D4E59" w:rsidRPr="007F3E67">
        <w:rPr>
          <w:rStyle w:val="ECHRParaChar"/>
          <w:lang w:val="fr-FR"/>
        </w:rPr>
        <w:t xml:space="preserve">intérieur de la caserne de Bolzaneto, </w:t>
      </w:r>
      <w:r w:rsidR="00A91D0A" w:rsidRPr="007F3E67">
        <w:rPr>
          <w:rStyle w:val="ECHRParaChar"/>
          <w:lang w:val="fr-FR"/>
        </w:rPr>
        <w:t xml:space="preserve">les </w:t>
      </w:r>
      <w:r w:rsidR="00E46684" w:rsidRPr="007F3E67">
        <w:rPr>
          <w:rStyle w:val="ECHRParaChar"/>
          <w:lang w:val="fr-FR"/>
        </w:rPr>
        <w:t xml:space="preserve">simples </w:t>
      </w:r>
      <w:r w:rsidR="006D4E59" w:rsidRPr="007F3E67">
        <w:rPr>
          <w:rStyle w:val="ECHRParaChar"/>
          <w:lang w:val="fr-FR"/>
        </w:rPr>
        <w:t xml:space="preserve">agents </w:t>
      </w:r>
      <w:r w:rsidR="00B01006" w:rsidRPr="007F3E67">
        <w:rPr>
          <w:rStyle w:val="ECHRParaChar"/>
          <w:lang w:val="fr-FR"/>
        </w:rPr>
        <w:t>et</w:t>
      </w:r>
      <w:r w:rsidR="00E46684" w:rsidRPr="007F3E67">
        <w:rPr>
          <w:rStyle w:val="ECHRParaChar"/>
          <w:lang w:val="fr-FR"/>
        </w:rPr>
        <w:t>,</w:t>
      </w:r>
      <w:r w:rsidR="00B01006" w:rsidRPr="007F3E67">
        <w:rPr>
          <w:rStyle w:val="ECHRParaChar"/>
          <w:lang w:val="fr-FR"/>
        </w:rPr>
        <w:t xml:space="preserve"> par extension</w:t>
      </w:r>
      <w:r w:rsidR="00E46684" w:rsidRPr="007F3E67">
        <w:rPr>
          <w:rStyle w:val="ECHRParaChar"/>
          <w:lang w:val="fr-FR"/>
        </w:rPr>
        <w:t>,</w:t>
      </w:r>
      <w:r w:rsidR="00A91D0A" w:rsidRPr="007F3E67">
        <w:rPr>
          <w:rStyle w:val="ECHRParaChar"/>
          <w:lang w:val="fr-FR"/>
        </w:rPr>
        <w:t xml:space="preserve"> la chaîne de commandement</w:t>
      </w:r>
      <w:r w:rsidR="006D4E59" w:rsidRPr="007F3E67">
        <w:rPr>
          <w:rStyle w:val="ECHRParaChar"/>
          <w:lang w:val="fr-FR"/>
        </w:rPr>
        <w:t>,</w:t>
      </w:r>
      <w:r w:rsidR="006F1400" w:rsidRPr="007F3E67">
        <w:rPr>
          <w:rStyle w:val="ECHRParaChar"/>
          <w:lang w:val="fr-FR"/>
        </w:rPr>
        <w:t xml:space="preserve"> </w:t>
      </w:r>
      <w:r w:rsidR="00741C4E" w:rsidRPr="007F3E67">
        <w:rPr>
          <w:rStyle w:val="ECHRParaChar"/>
          <w:lang w:val="fr-FR"/>
        </w:rPr>
        <w:t>ont</w:t>
      </w:r>
      <w:r w:rsidR="006D4E59" w:rsidRPr="007F3E67">
        <w:rPr>
          <w:rStyle w:val="ECHRParaChar"/>
          <w:lang w:val="fr-FR"/>
        </w:rPr>
        <w:t xml:space="preserve"> gravement </w:t>
      </w:r>
      <w:r w:rsidR="00741C4E" w:rsidRPr="007F3E67">
        <w:rPr>
          <w:rStyle w:val="ECHRParaChar"/>
          <w:lang w:val="fr-FR"/>
        </w:rPr>
        <w:t xml:space="preserve">contrevenu à leur devoir déontologique primaire de protection des </w:t>
      </w:r>
      <w:r w:rsidR="007B5DE6" w:rsidRPr="007F3E67">
        <w:rPr>
          <w:rStyle w:val="ECHRParaChar"/>
          <w:lang w:val="fr-FR"/>
        </w:rPr>
        <w:t>personnes</w:t>
      </w:r>
      <w:r w:rsidR="00741C4E" w:rsidRPr="007F3E67">
        <w:rPr>
          <w:rStyle w:val="ECHRParaChar"/>
          <w:lang w:val="fr-FR"/>
        </w:rPr>
        <w:t xml:space="preserve"> placé</w:t>
      </w:r>
      <w:r w:rsidR="007B5DE6" w:rsidRPr="007F3E67">
        <w:rPr>
          <w:rStyle w:val="ECHRParaChar"/>
          <w:lang w:val="fr-FR"/>
        </w:rPr>
        <w:t>e</w:t>
      </w:r>
      <w:r w:rsidR="0034241C" w:rsidRPr="007F3E67">
        <w:rPr>
          <w:rStyle w:val="ECHRParaChar"/>
          <w:lang w:val="fr-FR"/>
        </w:rPr>
        <w:t>s sous leur surveillance.</w:t>
      </w:r>
    </w:p>
    <w:p w:rsidR="00301040" w:rsidRPr="007F3E67" w:rsidRDefault="00687238" w:rsidP="007F3E67">
      <w:pPr>
        <w:pStyle w:val="ECHRPara"/>
        <w:rPr>
          <w:lang w:val="fr-FR"/>
        </w:rPr>
      </w:pPr>
      <w:r w:rsidRPr="007F3E67">
        <w:rPr>
          <w:lang w:val="fr-FR"/>
        </w:rPr>
        <w:fldChar w:fldCharType="begin"/>
      </w:r>
      <w:r w:rsidRPr="007F3E67">
        <w:rPr>
          <w:lang w:val="fr-FR"/>
        </w:rPr>
        <w:instrText xml:space="preserve"> SEQ level0 \*arabic </w:instrText>
      </w:r>
      <w:r w:rsidRPr="007F3E67">
        <w:rPr>
          <w:lang w:val="fr-FR"/>
        </w:rPr>
        <w:fldChar w:fldCharType="separate"/>
      </w:r>
      <w:r w:rsidR="007F3E67" w:rsidRPr="007F3E67">
        <w:rPr>
          <w:noProof/>
          <w:lang w:val="fr-FR"/>
        </w:rPr>
        <w:t>132</w:t>
      </w:r>
      <w:r w:rsidRPr="007F3E67">
        <w:rPr>
          <w:lang w:val="fr-FR"/>
        </w:rPr>
        <w:fldChar w:fldCharType="end"/>
      </w:r>
      <w:r w:rsidRPr="007F3E67">
        <w:rPr>
          <w:lang w:val="fr-FR"/>
        </w:rPr>
        <w:t>.  </w:t>
      </w:r>
      <w:r w:rsidR="00E46684" w:rsidRPr="007F3E67">
        <w:rPr>
          <w:lang w:val="fr-FR"/>
        </w:rPr>
        <w:t>Ce</w:t>
      </w:r>
      <w:r w:rsidR="0073580A" w:rsidRPr="007F3E67">
        <w:rPr>
          <w:lang w:val="fr-FR"/>
        </w:rPr>
        <w:t>la</w:t>
      </w:r>
      <w:r w:rsidR="00E46684" w:rsidRPr="007F3E67">
        <w:rPr>
          <w:lang w:val="fr-FR"/>
        </w:rPr>
        <w:t xml:space="preserve"> est</w:t>
      </w:r>
      <w:r w:rsidR="006F1DEB" w:rsidRPr="007F3E67">
        <w:rPr>
          <w:lang w:val="fr-FR"/>
        </w:rPr>
        <w:t xml:space="preserve"> d</w:t>
      </w:r>
      <w:r w:rsidR="007F3E67" w:rsidRPr="007F3E67">
        <w:rPr>
          <w:lang w:val="fr-FR"/>
        </w:rPr>
        <w:t>’</w:t>
      </w:r>
      <w:r w:rsidRPr="007F3E67">
        <w:rPr>
          <w:lang w:val="fr-FR"/>
        </w:rPr>
        <w:t>ailleurs</w:t>
      </w:r>
      <w:r w:rsidR="006F1DEB" w:rsidRPr="007F3E67">
        <w:rPr>
          <w:lang w:val="fr-FR"/>
        </w:rPr>
        <w:t xml:space="preserve"> souligné par</w:t>
      </w:r>
      <w:r w:rsidRPr="007F3E67">
        <w:rPr>
          <w:lang w:val="fr-FR"/>
        </w:rPr>
        <w:t xml:space="preserve"> le tribunal de première instance de G</w:t>
      </w:r>
      <w:r w:rsidR="00E46684" w:rsidRPr="007F3E67">
        <w:rPr>
          <w:lang w:val="fr-FR"/>
        </w:rPr>
        <w:t>ê</w:t>
      </w:r>
      <w:r w:rsidRPr="007F3E67">
        <w:rPr>
          <w:lang w:val="fr-FR"/>
        </w:rPr>
        <w:t>nes (paragraphe</w:t>
      </w:r>
      <w:r w:rsidR="005F7C0E" w:rsidRPr="007F3E67">
        <w:rPr>
          <w:lang w:val="fr-FR"/>
        </w:rPr>
        <w:t xml:space="preserve"> </w:t>
      </w:r>
      <w:r w:rsidR="005F7C0E" w:rsidRPr="007F3E67">
        <w:rPr>
          <w:lang w:val="fr-FR"/>
        </w:rPr>
        <w:fldChar w:fldCharType="begin"/>
      </w:r>
      <w:r w:rsidR="005F7C0E" w:rsidRPr="007F3E67">
        <w:rPr>
          <w:lang w:val="fr-FR"/>
        </w:rPr>
        <w:instrText xml:space="preserve"> REF CONSTITUTION_CONFIANCE \h </w:instrText>
      </w:r>
      <w:r w:rsidR="007E235C" w:rsidRPr="007F3E67">
        <w:rPr>
          <w:lang w:val="fr-FR"/>
        </w:rPr>
        <w:instrText xml:space="preserve"> \* MERGEFORMAT </w:instrText>
      </w:r>
      <w:r w:rsidR="005F7C0E" w:rsidRPr="007F3E67">
        <w:rPr>
          <w:lang w:val="fr-FR"/>
        </w:rPr>
      </w:r>
      <w:r w:rsidR="005F7C0E" w:rsidRPr="007F3E67">
        <w:rPr>
          <w:lang w:val="fr-FR"/>
        </w:rPr>
        <w:fldChar w:fldCharType="separate"/>
      </w:r>
      <w:r w:rsidR="007F3E67" w:rsidRPr="007F3E67">
        <w:rPr>
          <w:noProof/>
          <w:lang w:val="fr-FR"/>
        </w:rPr>
        <w:t>53</w:t>
      </w:r>
      <w:r w:rsidR="005F7C0E" w:rsidRPr="007F3E67">
        <w:rPr>
          <w:lang w:val="fr-FR"/>
        </w:rPr>
        <w:fldChar w:fldCharType="end"/>
      </w:r>
      <w:r w:rsidR="005F7C0E" w:rsidRPr="007F3E67">
        <w:rPr>
          <w:lang w:val="fr-FR"/>
        </w:rPr>
        <w:t xml:space="preserve"> </w:t>
      </w:r>
      <w:r w:rsidRPr="007F3E67">
        <w:rPr>
          <w:lang w:val="fr-FR"/>
        </w:rPr>
        <w:t>ci-dessus)</w:t>
      </w:r>
      <w:r w:rsidR="00E46684" w:rsidRPr="007F3E67">
        <w:rPr>
          <w:lang w:val="fr-FR"/>
        </w:rPr>
        <w:t xml:space="preserve">, qui a estimé </w:t>
      </w:r>
      <w:r w:rsidR="006F1DEB" w:rsidRPr="007F3E67">
        <w:rPr>
          <w:lang w:val="fr-FR"/>
        </w:rPr>
        <w:t>que</w:t>
      </w:r>
      <w:r w:rsidRPr="007F3E67">
        <w:rPr>
          <w:lang w:val="fr-FR"/>
        </w:rPr>
        <w:t xml:space="preserve"> les agents poursuivis </w:t>
      </w:r>
      <w:r w:rsidR="00E46684" w:rsidRPr="007F3E67">
        <w:rPr>
          <w:lang w:val="fr-FR"/>
        </w:rPr>
        <w:t xml:space="preserve">avaient </w:t>
      </w:r>
      <w:r w:rsidRPr="007F3E67">
        <w:rPr>
          <w:lang w:val="fr-FR"/>
        </w:rPr>
        <w:t xml:space="preserve">trahi le serment de fidélité </w:t>
      </w:r>
      <w:r w:rsidR="00AC01AA" w:rsidRPr="007F3E67">
        <w:rPr>
          <w:lang w:val="fr-FR"/>
        </w:rPr>
        <w:t>et d</w:t>
      </w:r>
      <w:r w:rsidR="007F3E67" w:rsidRPr="007F3E67">
        <w:rPr>
          <w:lang w:val="fr-FR"/>
        </w:rPr>
        <w:t>’</w:t>
      </w:r>
      <w:r w:rsidR="00AC01AA" w:rsidRPr="007F3E67">
        <w:rPr>
          <w:lang w:val="fr-FR"/>
        </w:rPr>
        <w:t>adhésion</w:t>
      </w:r>
      <w:r w:rsidRPr="007F3E67">
        <w:rPr>
          <w:lang w:val="fr-FR"/>
        </w:rPr>
        <w:t xml:space="preserve"> à la Constitution</w:t>
      </w:r>
      <w:r w:rsidR="00AC01AA" w:rsidRPr="007F3E67">
        <w:rPr>
          <w:lang w:val="fr-FR"/>
        </w:rPr>
        <w:t xml:space="preserve"> et aux lois</w:t>
      </w:r>
      <w:r w:rsidRPr="007F3E67">
        <w:rPr>
          <w:lang w:val="fr-FR"/>
        </w:rPr>
        <w:t xml:space="preserve"> républicaine</w:t>
      </w:r>
      <w:r w:rsidR="004162C3" w:rsidRPr="007F3E67">
        <w:rPr>
          <w:lang w:val="fr-FR"/>
        </w:rPr>
        <w:t>s</w:t>
      </w:r>
      <w:r w:rsidR="0034241C" w:rsidRPr="007F3E67">
        <w:rPr>
          <w:lang w:val="fr-FR"/>
        </w:rPr>
        <w:t xml:space="preserve"> </w:t>
      </w:r>
      <w:r w:rsidR="006F1DEB" w:rsidRPr="007F3E67">
        <w:rPr>
          <w:lang w:val="fr-FR"/>
        </w:rPr>
        <w:t>en portant</w:t>
      </w:r>
      <w:r w:rsidRPr="007F3E67">
        <w:rPr>
          <w:lang w:val="fr-FR"/>
        </w:rPr>
        <w:t xml:space="preserve"> atteinte</w:t>
      </w:r>
      <w:r w:rsidR="0034241C" w:rsidRPr="007F3E67">
        <w:rPr>
          <w:lang w:val="fr-FR"/>
        </w:rPr>
        <w:t>,</w:t>
      </w:r>
      <w:r w:rsidRPr="007F3E67">
        <w:rPr>
          <w:lang w:val="fr-FR"/>
        </w:rPr>
        <w:t xml:space="preserve"> </w:t>
      </w:r>
      <w:r w:rsidR="00E46684" w:rsidRPr="007F3E67">
        <w:rPr>
          <w:lang w:val="fr-FR"/>
        </w:rPr>
        <w:t xml:space="preserve">par </w:t>
      </w:r>
      <w:r w:rsidR="0034241C" w:rsidRPr="007F3E67">
        <w:rPr>
          <w:lang w:val="fr-FR"/>
        </w:rPr>
        <w:t xml:space="preserve">leur comportement, </w:t>
      </w:r>
      <w:r w:rsidRPr="007F3E67">
        <w:rPr>
          <w:lang w:val="fr-FR"/>
        </w:rPr>
        <w:t>à la dignité</w:t>
      </w:r>
      <w:r w:rsidR="0034241C" w:rsidRPr="007F3E67">
        <w:rPr>
          <w:lang w:val="fr-FR"/>
        </w:rPr>
        <w:t xml:space="preserve"> et à la probité</w:t>
      </w:r>
      <w:r w:rsidRPr="007F3E67">
        <w:rPr>
          <w:lang w:val="fr-FR"/>
        </w:rPr>
        <w:t xml:space="preserve"> de la police italienne </w:t>
      </w:r>
      <w:r w:rsidR="0034241C" w:rsidRPr="007F3E67">
        <w:rPr>
          <w:lang w:val="fr-FR"/>
        </w:rPr>
        <w:t>en tant que</w:t>
      </w:r>
      <w:r w:rsidRPr="007F3E67">
        <w:rPr>
          <w:lang w:val="fr-FR"/>
        </w:rPr>
        <w:t xml:space="preserve"> corps de métier et</w:t>
      </w:r>
      <w:r w:rsidR="0073580A" w:rsidRPr="007F3E67">
        <w:rPr>
          <w:lang w:val="fr-FR"/>
        </w:rPr>
        <w:t>, par suite,</w:t>
      </w:r>
      <w:r w:rsidRPr="007F3E67">
        <w:rPr>
          <w:lang w:val="fr-FR"/>
        </w:rPr>
        <w:t xml:space="preserve"> </w:t>
      </w:r>
      <w:r w:rsidR="00E46684" w:rsidRPr="007F3E67">
        <w:rPr>
          <w:lang w:val="fr-FR"/>
        </w:rPr>
        <w:t xml:space="preserve">en </w:t>
      </w:r>
      <w:r w:rsidRPr="007F3E67">
        <w:rPr>
          <w:lang w:val="fr-FR"/>
        </w:rPr>
        <w:t>affaibli</w:t>
      </w:r>
      <w:r w:rsidR="006F1DEB" w:rsidRPr="007F3E67">
        <w:rPr>
          <w:lang w:val="fr-FR"/>
        </w:rPr>
        <w:t>ssant</w:t>
      </w:r>
      <w:r w:rsidRPr="007F3E67">
        <w:rPr>
          <w:lang w:val="fr-FR"/>
        </w:rPr>
        <w:t xml:space="preserve"> la confiance d</w:t>
      </w:r>
      <w:r w:rsidR="0073580A" w:rsidRPr="007F3E67">
        <w:rPr>
          <w:lang w:val="fr-FR"/>
        </w:rPr>
        <w:t>e la population</w:t>
      </w:r>
      <w:r w:rsidRPr="007F3E67">
        <w:rPr>
          <w:lang w:val="fr-FR"/>
        </w:rPr>
        <w:t xml:space="preserve"> italien</w:t>
      </w:r>
      <w:r w:rsidR="0073580A" w:rsidRPr="007F3E67">
        <w:rPr>
          <w:lang w:val="fr-FR"/>
        </w:rPr>
        <w:t>ne</w:t>
      </w:r>
      <w:r w:rsidRPr="007F3E67">
        <w:rPr>
          <w:lang w:val="fr-FR"/>
        </w:rPr>
        <w:t xml:space="preserve"> </w:t>
      </w:r>
      <w:r w:rsidR="00F0487A" w:rsidRPr="007F3E67">
        <w:rPr>
          <w:lang w:val="fr-FR"/>
        </w:rPr>
        <w:t xml:space="preserve">dans </w:t>
      </w:r>
      <w:r w:rsidRPr="007F3E67">
        <w:rPr>
          <w:lang w:val="fr-FR"/>
        </w:rPr>
        <w:t>les forces de l</w:t>
      </w:r>
      <w:r w:rsidR="007F3E67" w:rsidRPr="007F3E67">
        <w:rPr>
          <w:lang w:val="fr-FR"/>
        </w:rPr>
        <w:t>’</w:t>
      </w:r>
      <w:r w:rsidRPr="007F3E67">
        <w:rPr>
          <w:lang w:val="fr-FR"/>
        </w:rPr>
        <w:t>ordre.</w:t>
      </w:r>
    </w:p>
    <w:p w:rsidR="007E3A0F" w:rsidRPr="007F3E67" w:rsidRDefault="006F1DEB" w:rsidP="007F3E67">
      <w:pPr>
        <w:pStyle w:val="ECHRPara"/>
        <w:rPr>
          <w:i/>
          <w:lang w:val="fr-FR"/>
        </w:rPr>
      </w:pPr>
      <w:r w:rsidRPr="007F3E67">
        <w:rPr>
          <w:lang w:val="fr-FR"/>
        </w:rPr>
        <w:fldChar w:fldCharType="begin"/>
      </w:r>
      <w:r w:rsidRPr="007F3E67">
        <w:rPr>
          <w:lang w:val="fr-FR"/>
        </w:rPr>
        <w:instrText xml:space="preserve"> SEQ level0 \*arabic </w:instrText>
      </w:r>
      <w:r w:rsidRPr="007F3E67">
        <w:rPr>
          <w:lang w:val="fr-FR"/>
        </w:rPr>
        <w:fldChar w:fldCharType="separate"/>
      </w:r>
      <w:r w:rsidR="007F3E67" w:rsidRPr="007F3E67">
        <w:rPr>
          <w:noProof/>
          <w:lang w:val="fr-FR"/>
        </w:rPr>
        <w:t>133</w:t>
      </w:r>
      <w:r w:rsidRPr="007F3E67">
        <w:rPr>
          <w:lang w:val="fr-FR"/>
        </w:rPr>
        <w:fldChar w:fldCharType="end"/>
      </w:r>
      <w:r w:rsidRPr="007F3E67">
        <w:rPr>
          <w:lang w:val="fr-FR"/>
        </w:rPr>
        <w:t>.  </w:t>
      </w:r>
      <w:r w:rsidR="00687238" w:rsidRPr="007F3E67">
        <w:rPr>
          <w:lang w:val="fr-FR"/>
        </w:rPr>
        <w:t xml:space="preserve">La Cour ne saurait dès lors négliger la dimension symbolique de ces </w:t>
      </w:r>
      <w:r w:rsidR="00E91D1F" w:rsidRPr="007F3E67">
        <w:rPr>
          <w:lang w:val="fr-FR"/>
        </w:rPr>
        <w:t>actes</w:t>
      </w:r>
      <w:r w:rsidR="00687238" w:rsidRPr="007F3E67">
        <w:rPr>
          <w:lang w:val="fr-FR"/>
        </w:rPr>
        <w:t>, ni le fait que</w:t>
      </w:r>
      <w:r w:rsidR="00261CF2" w:rsidRPr="007F3E67">
        <w:rPr>
          <w:lang w:val="fr-FR"/>
        </w:rPr>
        <w:t xml:space="preserve"> les requérants ont été </w:t>
      </w:r>
      <w:r w:rsidR="007B5DE6" w:rsidRPr="007F3E67">
        <w:rPr>
          <w:lang w:val="fr-FR"/>
        </w:rPr>
        <w:t>non seulement</w:t>
      </w:r>
      <w:r w:rsidR="00261CF2" w:rsidRPr="007F3E67">
        <w:rPr>
          <w:lang w:val="fr-FR"/>
        </w:rPr>
        <w:t xml:space="preserve"> </w:t>
      </w:r>
      <w:r w:rsidR="00E91D1F" w:rsidRPr="007F3E67">
        <w:rPr>
          <w:lang w:val="fr-FR"/>
        </w:rPr>
        <w:t xml:space="preserve">les </w:t>
      </w:r>
      <w:r w:rsidR="00261CF2" w:rsidRPr="007F3E67">
        <w:rPr>
          <w:lang w:val="fr-FR"/>
        </w:rPr>
        <w:t>victimes</w:t>
      </w:r>
      <w:r w:rsidR="00687238" w:rsidRPr="007F3E67">
        <w:rPr>
          <w:lang w:val="fr-FR"/>
        </w:rPr>
        <w:t xml:space="preserve"> directes</w:t>
      </w:r>
      <w:r w:rsidR="007B5DE6" w:rsidRPr="007F3E67">
        <w:rPr>
          <w:lang w:val="fr-FR"/>
        </w:rPr>
        <w:t xml:space="preserve"> de sévices</w:t>
      </w:r>
      <w:r w:rsidR="00261CF2" w:rsidRPr="007F3E67">
        <w:rPr>
          <w:lang w:val="fr-FR"/>
        </w:rPr>
        <w:t xml:space="preserve"> </w:t>
      </w:r>
      <w:r w:rsidR="007B5DE6" w:rsidRPr="007F3E67">
        <w:rPr>
          <w:lang w:val="fr-FR"/>
        </w:rPr>
        <w:t>mais aussi</w:t>
      </w:r>
      <w:r w:rsidR="00261CF2" w:rsidRPr="007F3E67">
        <w:rPr>
          <w:lang w:val="fr-FR"/>
        </w:rPr>
        <w:t xml:space="preserve"> </w:t>
      </w:r>
      <w:r w:rsidR="00E91D1F" w:rsidRPr="007F3E67">
        <w:rPr>
          <w:lang w:val="fr-FR"/>
        </w:rPr>
        <w:t xml:space="preserve">les </w:t>
      </w:r>
      <w:r w:rsidR="00261CF2" w:rsidRPr="007F3E67">
        <w:rPr>
          <w:lang w:val="fr-FR"/>
        </w:rPr>
        <w:t xml:space="preserve">témoins </w:t>
      </w:r>
      <w:r w:rsidR="00A91D0A" w:rsidRPr="007F3E67">
        <w:rPr>
          <w:lang w:val="fr-FR"/>
        </w:rPr>
        <w:t xml:space="preserve">impuissants </w:t>
      </w:r>
      <w:r w:rsidR="00E91D1F" w:rsidRPr="007F3E67">
        <w:rPr>
          <w:lang w:val="fr-FR"/>
        </w:rPr>
        <w:t>de l</w:t>
      </w:r>
      <w:r w:rsidR="007F3E67" w:rsidRPr="007F3E67">
        <w:rPr>
          <w:lang w:val="fr-FR"/>
        </w:rPr>
        <w:t>’</w:t>
      </w:r>
      <w:r w:rsidR="00E91D1F" w:rsidRPr="007F3E67">
        <w:rPr>
          <w:lang w:val="fr-FR"/>
        </w:rPr>
        <w:t>usage</w:t>
      </w:r>
      <w:r w:rsidR="00261CF2" w:rsidRPr="007F3E67">
        <w:rPr>
          <w:lang w:val="fr-FR"/>
        </w:rPr>
        <w:t xml:space="preserve"> incontrôlé de la violence</w:t>
      </w:r>
      <w:r w:rsidR="00FD1D44" w:rsidRPr="007F3E67">
        <w:rPr>
          <w:lang w:val="fr-FR"/>
        </w:rPr>
        <w:t xml:space="preserve"> à l</w:t>
      </w:r>
      <w:r w:rsidR="007F3E67" w:rsidRPr="007F3E67">
        <w:rPr>
          <w:lang w:val="fr-FR"/>
        </w:rPr>
        <w:t>’</w:t>
      </w:r>
      <w:r w:rsidR="00FD1D44" w:rsidRPr="007F3E67">
        <w:rPr>
          <w:lang w:val="fr-FR"/>
        </w:rPr>
        <w:t>égard des autres personnes arrêtées</w:t>
      </w:r>
      <w:r w:rsidR="00E66DA7" w:rsidRPr="007F3E67">
        <w:rPr>
          <w:lang w:val="fr-FR"/>
        </w:rPr>
        <w:t>.</w:t>
      </w:r>
      <w:r w:rsidR="007B5DE6" w:rsidRPr="007F3E67">
        <w:rPr>
          <w:lang w:val="fr-FR"/>
        </w:rPr>
        <w:t xml:space="preserve"> </w:t>
      </w:r>
      <w:r w:rsidR="00687238" w:rsidRPr="007F3E67">
        <w:rPr>
          <w:lang w:val="fr-FR"/>
        </w:rPr>
        <w:t>A</w:t>
      </w:r>
      <w:r w:rsidR="00E66DA7" w:rsidRPr="007F3E67">
        <w:rPr>
          <w:lang w:val="fr-FR"/>
        </w:rPr>
        <w:t xml:space="preserve">ux </w:t>
      </w:r>
      <w:r w:rsidR="0008637A" w:rsidRPr="007F3E67">
        <w:rPr>
          <w:lang w:val="fr-FR"/>
        </w:rPr>
        <w:t xml:space="preserve">atteintes </w:t>
      </w:r>
      <w:r w:rsidR="0073580A" w:rsidRPr="007F3E67">
        <w:rPr>
          <w:lang w:val="fr-FR"/>
        </w:rPr>
        <w:t>portées</w:t>
      </w:r>
      <w:r w:rsidR="002958DA" w:rsidRPr="007F3E67">
        <w:rPr>
          <w:lang w:val="fr-FR"/>
        </w:rPr>
        <w:t xml:space="preserve"> </w:t>
      </w:r>
      <w:r w:rsidR="0008637A" w:rsidRPr="007F3E67">
        <w:rPr>
          <w:lang w:val="fr-FR"/>
        </w:rPr>
        <w:t>à l</w:t>
      </w:r>
      <w:r w:rsidR="007F3E67" w:rsidRPr="007F3E67">
        <w:rPr>
          <w:lang w:val="fr-FR"/>
        </w:rPr>
        <w:t>’</w:t>
      </w:r>
      <w:r w:rsidR="0008637A" w:rsidRPr="007F3E67">
        <w:rPr>
          <w:lang w:val="fr-FR"/>
        </w:rPr>
        <w:t>intégrité physique</w:t>
      </w:r>
      <w:r w:rsidR="000C3718" w:rsidRPr="007F3E67">
        <w:rPr>
          <w:lang w:val="fr-FR"/>
        </w:rPr>
        <w:t xml:space="preserve"> et psychologique</w:t>
      </w:r>
      <w:r w:rsidR="004162C3" w:rsidRPr="007F3E67">
        <w:rPr>
          <w:lang w:val="fr-FR"/>
        </w:rPr>
        <w:t xml:space="preserve"> individuelle</w:t>
      </w:r>
      <w:r w:rsidR="0008637A" w:rsidRPr="007F3E67">
        <w:rPr>
          <w:lang w:val="fr-FR"/>
        </w:rPr>
        <w:t xml:space="preserve"> </w:t>
      </w:r>
      <w:r w:rsidR="00FD1D44" w:rsidRPr="007F3E67">
        <w:rPr>
          <w:lang w:val="fr-FR"/>
        </w:rPr>
        <w:t>s</w:t>
      </w:r>
      <w:r w:rsidR="007F3E67" w:rsidRPr="007F3E67">
        <w:rPr>
          <w:lang w:val="fr-FR"/>
        </w:rPr>
        <w:t>’</w:t>
      </w:r>
      <w:r w:rsidR="00A91D0A" w:rsidRPr="007F3E67">
        <w:rPr>
          <w:lang w:val="fr-FR"/>
        </w:rPr>
        <w:t>est</w:t>
      </w:r>
      <w:r w:rsidR="0008637A" w:rsidRPr="007F3E67">
        <w:rPr>
          <w:lang w:val="fr-FR"/>
        </w:rPr>
        <w:t xml:space="preserve"> </w:t>
      </w:r>
      <w:r w:rsidR="00FD1D44" w:rsidRPr="007F3E67">
        <w:rPr>
          <w:lang w:val="fr-FR"/>
        </w:rPr>
        <w:t>donc</w:t>
      </w:r>
      <w:r w:rsidR="007B5DE6" w:rsidRPr="007F3E67">
        <w:rPr>
          <w:lang w:val="fr-FR"/>
        </w:rPr>
        <w:t xml:space="preserve"> </w:t>
      </w:r>
      <w:r w:rsidR="000C3718" w:rsidRPr="007F3E67">
        <w:rPr>
          <w:lang w:val="fr-FR"/>
        </w:rPr>
        <w:t>ajouté</w:t>
      </w:r>
      <w:r w:rsidR="0008637A" w:rsidRPr="007F3E67">
        <w:rPr>
          <w:lang w:val="fr-FR"/>
        </w:rPr>
        <w:t xml:space="preserve"> </w:t>
      </w:r>
      <w:r w:rsidR="000C3718" w:rsidRPr="007F3E67">
        <w:rPr>
          <w:lang w:val="fr-FR"/>
        </w:rPr>
        <w:t>l</w:t>
      </w:r>
      <w:r w:rsidR="007F3E67" w:rsidRPr="007F3E67">
        <w:rPr>
          <w:lang w:val="fr-FR"/>
        </w:rPr>
        <w:t>’</w:t>
      </w:r>
      <w:r w:rsidR="0008637A" w:rsidRPr="007F3E67">
        <w:rPr>
          <w:lang w:val="fr-FR"/>
        </w:rPr>
        <w:t>état d</w:t>
      </w:r>
      <w:r w:rsidR="007F3E67" w:rsidRPr="007F3E67">
        <w:rPr>
          <w:lang w:val="fr-FR"/>
        </w:rPr>
        <w:t>’</w:t>
      </w:r>
      <w:r w:rsidR="0008637A" w:rsidRPr="007F3E67">
        <w:rPr>
          <w:lang w:val="fr-FR"/>
        </w:rPr>
        <w:t>angoisse et de stress</w:t>
      </w:r>
      <w:r w:rsidR="0011598E" w:rsidRPr="007F3E67">
        <w:rPr>
          <w:lang w:val="fr-FR"/>
        </w:rPr>
        <w:t xml:space="preserve"> </w:t>
      </w:r>
      <w:r w:rsidR="00A91D0A" w:rsidRPr="007F3E67">
        <w:rPr>
          <w:lang w:val="fr-FR"/>
        </w:rPr>
        <w:t>causé par les</w:t>
      </w:r>
      <w:r w:rsidR="00FD1D44" w:rsidRPr="007F3E67">
        <w:rPr>
          <w:lang w:val="fr-FR"/>
        </w:rPr>
        <w:t xml:space="preserve"> épisodes de </w:t>
      </w:r>
      <w:r w:rsidR="007B5DE6" w:rsidRPr="007F3E67">
        <w:rPr>
          <w:lang w:val="fr-FR"/>
        </w:rPr>
        <w:t xml:space="preserve">violences </w:t>
      </w:r>
      <w:r w:rsidR="00FD1D44" w:rsidRPr="007F3E67">
        <w:rPr>
          <w:lang w:val="fr-FR"/>
        </w:rPr>
        <w:t>auxquels ils ont assisté</w:t>
      </w:r>
      <w:r w:rsidR="0008637A" w:rsidRPr="007F3E67">
        <w:rPr>
          <w:lang w:val="fr-FR"/>
        </w:rPr>
        <w:t xml:space="preserve"> (</w:t>
      </w:r>
      <w:r w:rsidR="0008637A" w:rsidRPr="007F3E67">
        <w:rPr>
          <w:i/>
          <w:lang w:val="fr-FR"/>
        </w:rPr>
        <w:t>Iljina et Sarulienė c. Lituanie</w:t>
      </w:r>
      <w:r w:rsidR="0008637A" w:rsidRPr="007F3E67">
        <w:rPr>
          <w:lang w:val="fr-FR"/>
        </w:rPr>
        <w:t>, n</w:t>
      </w:r>
      <w:r w:rsidR="0008637A" w:rsidRPr="007F3E67">
        <w:rPr>
          <w:vertAlign w:val="superscript"/>
          <w:lang w:val="fr-FR"/>
        </w:rPr>
        <w:t>o </w:t>
      </w:r>
      <w:r w:rsidR="0008637A" w:rsidRPr="007F3E67">
        <w:rPr>
          <w:lang w:val="fr-FR"/>
        </w:rPr>
        <w:t>32293/05</w:t>
      </w:r>
      <w:r w:rsidR="0008637A" w:rsidRPr="007F3E67">
        <w:rPr>
          <w:snapToGrid w:val="0"/>
          <w:lang w:val="fr-FR"/>
        </w:rPr>
        <w:t xml:space="preserve">, § 47, 15 </w:t>
      </w:r>
      <w:r w:rsidR="0008637A" w:rsidRPr="007F3E67">
        <w:rPr>
          <w:lang w:val="fr-FR"/>
        </w:rPr>
        <w:t>mars</w:t>
      </w:r>
      <w:r w:rsidR="0008637A" w:rsidRPr="007F3E67">
        <w:rPr>
          <w:snapToGrid w:val="0"/>
          <w:lang w:val="fr-FR"/>
        </w:rPr>
        <w:t xml:space="preserve"> 2011</w:t>
      </w:r>
      <w:r w:rsidR="007E490A" w:rsidRPr="007F3E67">
        <w:rPr>
          <w:snapToGrid w:val="0"/>
          <w:lang w:val="fr-FR"/>
        </w:rPr>
        <w:t>)</w:t>
      </w:r>
      <w:r w:rsidR="0011598E" w:rsidRPr="007F3E67">
        <w:rPr>
          <w:lang w:val="fr-FR"/>
        </w:rPr>
        <w:t>.</w:t>
      </w:r>
    </w:p>
    <w:p w:rsidR="002958DA" w:rsidRPr="007F3E67" w:rsidRDefault="00687238" w:rsidP="007F3E67">
      <w:pPr>
        <w:pStyle w:val="ECHRPara"/>
        <w:rPr>
          <w:lang w:val="fr-FR"/>
        </w:rPr>
      </w:pPr>
      <w:r w:rsidRPr="007F3E67">
        <w:rPr>
          <w:lang w:val="fr-FR"/>
        </w:rPr>
        <w:fldChar w:fldCharType="begin"/>
      </w:r>
      <w:r w:rsidRPr="007F3E67">
        <w:rPr>
          <w:lang w:val="fr-FR"/>
        </w:rPr>
        <w:instrText xml:space="preserve"> SEQ level0 \*arabic </w:instrText>
      </w:r>
      <w:r w:rsidRPr="007F3E67">
        <w:rPr>
          <w:lang w:val="fr-FR"/>
        </w:rPr>
        <w:fldChar w:fldCharType="separate"/>
      </w:r>
      <w:r w:rsidR="007F3E67" w:rsidRPr="007F3E67">
        <w:rPr>
          <w:noProof/>
          <w:lang w:val="fr-FR"/>
        </w:rPr>
        <w:t>134</w:t>
      </w:r>
      <w:r w:rsidRPr="007F3E67">
        <w:rPr>
          <w:lang w:val="fr-FR"/>
        </w:rPr>
        <w:fldChar w:fldCharType="end"/>
      </w:r>
      <w:r w:rsidRPr="007F3E67">
        <w:rPr>
          <w:lang w:val="fr-FR"/>
        </w:rPr>
        <w:t>.  </w:t>
      </w:r>
      <w:r w:rsidR="000C3718" w:rsidRPr="007F3E67">
        <w:rPr>
          <w:lang w:val="fr-FR"/>
        </w:rPr>
        <w:t>En s</w:t>
      </w:r>
      <w:r w:rsidR="007F3E67" w:rsidRPr="007F3E67">
        <w:rPr>
          <w:lang w:val="fr-FR"/>
        </w:rPr>
        <w:t>’</w:t>
      </w:r>
      <w:r w:rsidR="000C3718" w:rsidRPr="007F3E67">
        <w:rPr>
          <w:lang w:val="fr-FR"/>
        </w:rPr>
        <w:t xml:space="preserve">appuyant </w:t>
      </w:r>
      <w:r w:rsidR="00C30DBB" w:rsidRPr="007F3E67">
        <w:rPr>
          <w:lang w:val="fr-FR"/>
        </w:rPr>
        <w:t xml:space="preserve">notamment </w:t>
      </w:r>
      <w:r w:rsidR="000C3718" w:rsidRPr="007F3E67">
        <w:rPr>
          <w:lang w:val="fr-FR"/>
        </w:rPr>
        <w:t>sur les conclusions de la cour d</w:t>
      </w:r>
      <w:r w:rsidR="007F3E67" w:rsidRPr="007F3E67">
        <w:rPr>
          <w:lang w:val="fr-FR"/>
        </w:rPr>
        <w:t>’</w:t>
      </w:r>
      <w:r w:rsidR="000C3718" w:rsidRPr="007F3E67">
        <w:rPr>
          <w:lang w:val="fr-FR"/>
        </w:rPr>
        <w:t xml:space="preserve">appel de Gênes </w:t>
      </w:r>
      <w:r w:rsidR="00C30DBB" w:rsidRPr="007F3E67">
        <w:rPr>
          <w:lang w:val="fr-FR"/>
        </w:rPr>
        <w:t xml:space="preserve">(paragraphe </w:t>
      </w:r>
      <w:r w:rsidR="005F7C0E" w:rsidRPr="007F3E67">
        <w:rPr>
          <w:lang w:val="fr-FR"/>
        </w:rPr>
        <w:fldChar w:fldCharType="begin"/>
      </w:r>
      <w:r w:rsidR="005F7C0E" w:rsidRPr="007F3E67">
        <w:rPr>
          <w:lang w:val="fr-FR"/>
        </w:rPr>
        <w:instrText xml:space="preserve"> REF FINALITE_MAUVAIS_TRAITEMENTS \h </w:instrText>
      </w:r>
      <w:r w:rsidR="007E235C" w:rsidRPr="007F3E67">
        <w:rPr>
          <w:lang w:val="fr-FR"/>
        </w:rPr>
        <w:instrText xml:space="preserve"> \* MERGEFORMAT </w:instrText>
      </w:r>
      <w:r w:rsidR="005F7C0E" w:rsidRPr="007F3E67">
        <w:rPr>
          <w:lang w:val="fr-FR"/>
        </w:rPr>
      </w:r>
      <w:r w:rsidR="005F7C0E" w:rsidRPr="007F3E67">
        <w:rPr>
          <w:lang w:val="fr-FR"/>
        </w:rPr>
        <w:fldChar w:fldCharType="separate"/>
      </w:r>
      <w:r w:rsidR="007F3E67" w:rsidRPr="007F3E67">
        <w:rPr>
          <w:noProof/>
          <w:lang w:val="fr-FR"/>
        </w:rPr>
        <w:t>67</w:t>
      </w:r>
      <w:r w:rsidR="005F7C0E" w:rsidRPr="007F3E67">
        <w:rPr>
          <w:lang w:val="fr-FR"/>
        </w:rPr>
        <w:fldChar w:fldCharType="end"/>
      </w:r>
      <w:r w:rsidR="00C30DBB" w:rsidRPr="007F3E67">
        <w:rPr>
          <w:lang w:val="fr-FR"/>
        </w:rPr>
        <w:t xml:space="preserve"> ci-dessus)</w:t>
      </w:r>
      <w:r w:rsidR="004162C3" w:rsidRPr="007F3E67">
        <w:rPr>
          <w:lang w:val="fr-FR"/>
        </w:rPr>
        <w:t xml:space="preserve"> et de la Cour de cassation (paragraphe </w:t>
      </w:r>
      <w:r w:rsidR="004162C3" w:rsidRPr="007F3E67">
        <w:rPr>
          <w:lang w:val="fr-FR"/>
        </w:rPr>
        <w:fldChar w:fldCharType="begin"/>
      </w:r>
      <w:r w:rsidR="004162C3" w:rsidRPr="007F3E67">
        <w:rPr>
          <w:lang w:val="fr-FR"/>
        </w:rPr>
        <w:instrText xml:space="preserve"> REF NON_DROIT \h </w:instrText>
      </w:r>
      <w:r w:rsidR="007E235C" w:rsidRPr="007F3E67">
        <w:rPr>
          <w:lang w:val="fr-FR"/>
        </w:rPr>
        <w:instrText xml:space="preserve"> \* MERGEFORMAT </w:instrText>
      </w:r>
      <w:r w:rsidR="004162C3" w:rsidRPr="007F3E67">
        <w:rPr>
          <w:lang w:val="fr-FR"/>
        </w:rPr>
      </w:r>
      <w:r w:rsidR="004162C3" w:rsidRPr="007F3E67">
        <w:rPr>
          <w:lang w:val="fr-FR"/>
        </w:rPr>
        <w:fldChar w:fldCharType="separate"/>
      </w:r>
      <w:r w:rsidR="007F3E67" w:rsidRPr="007F3E67">
        <w:rPr>
          <w:noProof/>
          <w:snapToGrid w:val="0"/>
          <w:lang w:val="fr-FR"/>
        </w:rPr>
        <w:t>72</w:t>
      </w:r>
      <w:r w:rsidR="004162C3" w:rsidRPr="007F3E67">
        <w:rPr>
          <w:lang w:val="fr-FR"/>
        </w:rPr>
        <w:fldChar w:fldCharType="end"/>
      </w:r>
      <w:r w:rsidR="004162C3" w:rsidRPr="007F3E67">
        <w:rPr>
          <w:lang w:val="fr-FR"/>
        </w:rPr>
        <w:t xml:space="preserve"> ci-dessus)</w:t>
      </w:r>
      <w:r w:rsidR="00C30DBB" w:rsidRPr="007F3E67">
        <w:rPr>
          <w:lang w:val="fr-FR"/>
        </w:rPr>
        <w:t>, la Cour estime que les</w:t>
      </w:r>
      <w:r w:rsidR="00FD7C07" w:rsidRPr="007F3E67">
        <w:rPr>
          <w:lang w:val="fr-FR"/>
        </w:rPr>
        <w:t xml:space="preserve"> requérants</w:t>
      </w:r>
      <w:r w:rsidR="006D4E59" w:rsidRPr="007F3E67">
        <w:rPr>
          <w:lang w:val="fr-FR"/>
        </w:rPr>
        <w:t>,</w:t>
      </w:r>
      <w:r w:rsidR="00FD7C07" w:rsidRPr="007F3E67">
        <w:rPr>
          <w:lang w:val="fr-FR"/>
        </w:rPr>
        <w:t xml:space="preserve"> </w:t>
      </w:r>
      <w:r w:rsidR="006D4E59" w:rsidRPr="007F3E67">
        <w:rPr>
          <w:lang w:val="fr-FR"/>
        </w:rPr>
        <w:t xml:space="preserve">traités comme des objets aux mains de la puissance publique, </w:t>
      </w:r>
      <w:r w:rsidR="003921B5" w:rsidRPr="007F3E67">
        <w:rPr>
          <w:lang w:val="fr-FR"/>
        </w:rPr>
        <w:t xml:space="preserve">ont </w:t>
      </w:r>
      <w:r w:rsidR="00FD7C07" w:rsidRPr="007F3E67">
        <w:rPr>
          <w:lang w:val="fr-FR"/>
        </w:rPr>
        <w:t xml:space="preserve">vécu </w:t>
      </w:r>
      <w:r w:rsidR="0008637A" w:rsidRPr="007F3E67">
        <w:rPr>
          <w:lang w:val="fr-FR"/>
        </w:rPr>
        <w:t xml:space="preserve">pendant toute la durée de leur </w:t>
      </w:r>
      <w:r w:rsidR="002958DA" w:rsidRPr="007F3E67">
        <w:rPr>
          <w:lang w:val="fr-FR"/>
        </w:rPr>
        <w:t>détention</w:t>
      </w:r>
      <w:r w:rsidR="0008637A" w:rsidRPr="007F3E67">
        <w:rPr>
          <w:lang w:val="fr-FR"/>
        </w:rPr>
        <w:t xml:space="preserve"> </w:t>
      </w:r>
      <w:r w:rsidR="00FD7C07" w:rsidRPr="007F3E67">
        <w:rPr>
          <w:lang w:val="fr-FR"/>
        </w:rPr>
        <w:t xml:space="preserve">dans un lieu de « non-droit » où les garanties les plus élémentaires </w:t>
      </w:r>
      <w:r w:rsidR="00B63917" w:rsidRPr="007F3E67">
        <w:rPr>
          <w:lang w:val="fr-FR"/>
        </w:rPr>
        <w:t xml:space="preserve">avaient </w:t>
      </w:r>
      <w:r w:rsidR="003921B5" w:rsidRPr="007F3E67">
        <w:rPr>
          <w:lang w:val="fr-FR"/>
        </w:rPr>
        <w:t>été</w:t>
      </w:r>
      <w:r w:rsidR="00FD7C07" w:rsidRPr="007F3E67">
        <w:rPr>
          <w:lang w:val="fr-FR"/>
        </w:rPr>
        <w:t xml:space="preserve"> suspendues</w:t>
      </w:r>
      <w:r w:rsidR="00D71B07" w:rsidRPr="007F3E67">
        <w:rPr>
          <w:lang w:val="fr-FR"/>
        </w:rPr>
        <w:t>.</w:t>
      </w:r>
    </w:p>
    <w:p w:rsidR="007956F7" w:rsidRPr="007F3E67" w:rsidRDefault="002958DA" w:rsidP="007F3E67">
      <w:pPr>
        <w:pStyle w:val="ECHRPara"/>
        <w:rPr>
          <w:rStyle w:val="ECHRParaChar"/>
          <w:lang w:val="fr-FR"/>
        </w:rPr>
      </w:pPr>
      <w:r w:rsidRPr="007F3E67">
        <w:rPr>
          <w:lang w:val="fr-FR"/>
        </w:rPr>
        <w:fldChar w:fldCharType="begin"/>
      </w:r>
      <w:r w:rsidRPr="007F3E67">
        <w:rPr>
          <w:lang w:val="fr-FR"/>
        </w:rPr>
        <w:instrText xml:space="preserve"> SEQ level0 \*arabic </w:instrText>
      </w:r>
      <w:r w:rsidRPr="007F3E67">
        <w:rPr>
          <w:lang w:val="fr-FR"/>
        </w:rPr>
        <w:fldChar w:fldCharType="separate"/>
      </w:r>
      <w:r w:rsidR="007F3E67" w:rsidRPr="007F3E67">
        <w:rPr>
          <w:noProof/>
          <w:lang w:val="fr-FR"/>
        </w:rPr>
        <w:t>135</w:t>
      </w:r>
      <w:r w:rsidRPr="007F3E67">
        <w:rPr>
          <w:lang w:val="fr-FR"/>
        </w:rPr>
        <w:fldChar w:fldCharType="end"/>
      </w:r>
      <w:r w:rsidRPr="007F3E67">
        <w:rPr>
          <w:lang w:val="fr-FR"/>
        </w:rPr>
        <w:t>.  </w:t>
      </w:r>
      <w:r w:rsidR="007A19DF" w:rsidRPr="007F3E67">
        <w:rPr>
          <w:lang w:val="fr-FR"/>
        </w:rPr>
        <w:t xml:space="preserve">En effet, </w:t>
      </w:r>
      <w:r w:rsidR="006D4E59" w:rsidRPr="007F3E67">
        <w:rPr>
          <w:lang w:val="fr-FR"/>
        </w:rPr>
        <w:t xml:space="preserve">outre les épisodes </w:t>
      </w:r>
      <w:r w:rsidR="00AC01AA" w:rsidRPr="007F3E67">
        <w:rPr>
          <w:lang w:val="fr-FR"/>
        </w:rPr>
        <w:t xml:space="preserve">de violence </w:t>
      </w:r>
      <w:r w:rsidR="006D4E59" w:rsidRPr="007F3E67">
        <w:rPr>
          <w:lang w:val="fr-FR"/>
        </w:rPr>
        <w:t>susmentionnés, la Cour ne saurait ignorer les autres atteintes aux</w:t>
      </w:r>
      <w:r w:rsidRPr="007F3E67">
        <w:rPr>
          <w:lang w:val="fr-FR"/>
        </w:rPr>
        <w:t xml:space="preserve"> droits des requérants</w:t>
      </w:r>
      <w:r w:rsidR="009062E4" w:rsidRPr="007F3E67">
        <w:rPr>
          <w:lang w:val="fr-FR"/>
        </w:rPr>
        <w:t xml:space="preserve"> s</w:t>
      </w:r>
      <w:r w:rsidR="007F3E67" w:rsidRPr="007F3E67">
        <w:rPr>
          <w:lang w:val="fr-FR"/>
        </w:rPr>
        <w:t>’</w:t>
      </w:r>
      <w:r w:rsidR="009062E4" w:rsidRPr="007F3E67">
        <w:rPr>
          <w:lang w:val="fr-FR"/>
        </w:rPr>
        <w:t>étant produit</w:t>
      </w:r>
      <w:r w:rsidR="00E91D1F" w:rsidRPr="007F3E67">
        <w:rPr>
          <w:lang w:val="fr-FR"/>
        </w:rPr>
        <w:t>es</w:t>
      </w:r>
      <w:r w:rsidRPr="007F3E67">
        <w:rPr>
          <w:lang w:val="fr-FR"/>
        </w:rPr>
        <w:t xml:space="preserve"> à </w:t>
      </w:r>
      <w:r w:rsidR="00D71B07" w:rsidRPr="007F3E67">
        <w:rPr>
          <w:lang w:val="fr-FR"/>
        </w:rPr>
        <w:t>l</w:t>
      </w:r>
      <w:r w:rsidRPr="007F3E67">
        <w:rPr>
          <w:lang w:val="fr-FR"/>
        </w:rPr>
        <w:t>a caserne de Bolzaneto</w:t>
      </w:r>
      <w:r w:rsidR="006F1DEB" w:rsidRPr="007F3E67">
        <w:rPr>
          <w:lang w:val="fr-FR"/>
        </w:rPr>
        <w:t>.</w:t>
      </w:r>
      <w:r w:rsidR="00E91D1F" w:rsidRPr="007F3E67">
        <w:rPr>
          <w:lang w:val="fr-FR"/>
        </w:rPr>
        <w:t xml:space="preserve"> </w:t>
      </w:r>
      <w:r w:rsidR="007A19DF" w:rsidRPr="007F3E67">
        <w:rPr>
          <w:lang w:val="fr-FR"/>
        </w:rPr>
        <w:t xml:space="preserve">Aucun requérant </w:t>
      </w:r>
      <w:r w:rsidR="00E91D1F" w:rsidRPr="007F3E67">
        <w:rPr>
          <w:lang w:val="fr-FR"/>
        </w:rPr>
        <w:t>n</w:t>
      </w:r>
      <w:r w:rsidR="007F3E67" w:rsidRPr="007F3E67">
        <w:rPr>
          <w:lang w:val="fr-FR"/>
        </w:rPr>
        <w:t>’</w:t>
      </w:r>
      <w:r w:rsidR="00E91D1F" w:rsidRPr="007F3E67">
        <w:rPr>
          <w:lang w:val="fr-FR"/>
        </w:rPr>
        <w:t>a pu</w:t>
      </w:r>
      <w:r w:rsidR="007A19DF" w:rsidRPr="007F3E67">
        <w:rPr>
          <w:lang w:val="fr-FR"/>
        </w:rPr>
        <w:t xml:space="preserve"> </w:t>
      </w:r>
      <w:r w:rsidR="0073580A" w:rsidRPr="007F3E67">
        <w:rPr>
          <w:lang w:val="fr-FR"/>
        </w:rPr>
        <w:t>prendre contact avec</w:t>
      </w:r>
      <w:r w:rsidR="007A19DF" w:rsidRPr="007F3E67">
        <w:rPr>
          <w:lang w:val="fr-FR"/>
        </w:rPr>
        <w:t xml:space="preserve"> un </w:t>
      </w:r>
      <w:r w:rsidR="001971A5" w:rsidRPr="007F3E67">
        <w:rPr>
          <w:lang w:val="fr-FR"/>
        </w:rPr>
        <w:t>proche</w:t>
      </w:r>
      <w:r w:rsidR="007A19DF" w:rsidRPr="007F3E67">
        <w:rPr>
          <w:lang w:val="fr-FR"/>
        </w:rPr>
        <w:t xml:space="preserve">, </w:t>
      </w:r>
      <w:r w:rsidR="00E91D1F" w:rsidRPr="007F3E67">
        <w:rPr>
          <w:lang w:val="fr-FR"/>
        </w:rPr>
        <w:t xml:space="preserve">un </w:t>
      </w:r>
      <w:r w:rsidR="007A19DF" w:rsidRPr="007F3E67">
        <w:rPr>
          <w:lang w:val="fr-FR"/>
        </w:rPr>
        <w:t>avocat de son choix ou</w:t>
      </w:r>
      <w:r w:rsidRPr="007F3E67">
        <w:rPr>
          <w:lang w:val="fr-FR"/>
        </w:rPr>
        <w:t>, le cas échéant,</w:t>
      </w:r>
      <w:r w:rsidR="007A19DF" w:rsidRPr="007F3E67">
        <w:rPr>
          <w:lang w:val="fr-FR"/>
        </w:rPr>
        <w:t xml:space="preserve"> un représentant consulaire. Les </w:t>
      </w:r>
      <w:r w:rsidR="0073580A" w:rsidRPr="007F3E67">
        <w:rPr>
          <w:lang w:val="fr-FR"/>
        </w:rPr>
        <w:t>effets</w:t>
      </w:r>
      <w:r w:rsidR="007A19DF" w:rsidRPr="007F3E67">
        <w:rPr>
          <w:lang w:val="fr-FR"/>
        </w:rPr>
        <w:t xml:space="preserve"> personnels </w:t>
      </w:r>
      <w:r w:rsidR="00E91D1F" w:rsidRPr="007F3E67">
        <w:rPr>
          <w:lang w:val="fr-FR"/>
        </w:rPr>
        <w:t>ont été</w:t>
      </w:r>
      <w:r w:rsidR="007A19DF" w:rsidRPr="007F3E67">
        <w:rPr>
          <w:lang w:val="fr-FR"/>
        </w:rPr>
        <w:t xml:space="preserve"> détruits sous les yeux de leur</w:t>
      </w:r>
      <w:r w:rsidR="00A91D0A" w:rsidRPr="007F3E67">
        <w:rPr>
          <w:lang w:val="fr-FR"/>
        </w:rPr>
        <w:t>s</w:t>
      </w:r>
      <w:r w:rsidR="007A19DF" w:rsidRPr="007F3E67">
        <w:rPr>
          <w:lang w:val="fr-FR"/>
        </w:rPr>
        <w:t xml:space="preserve"> propriétaire</w:t>
      </w:r>
      <w:r w:rsidR="00A91D0A" w:rsidRPr="007F3E67">
        <w:rPr>
          <w:lang w:val="fr-FR"/>
        </w:rPr>
        <w:t>s</w:t>
      </w:r>
      <w:r w:rsidR="007A19DF" w:rsidRPr="007F3E67">
        <w:rPr>
          <w:lang w:val="fr-FR"/>
        </w:rPr>
        <w:t>.</w:t>
      </w:r>
      <w:r w:rsidR="009062E4" w:rsidRPr="007F3E67">
        <w:rPr>
          <w:lang w:val="fr-FR"/>
        </w:rPr>
        <w:t xml:space="preserve"> </w:t>
      </w:r>
      <w:r w:rsidR="003921B5" w:rsidRPr="007F3E67">
        <w:rPr>
          <w:lang w:val="fr-FR"/>
        </w:rPr>
        <w:t>L</w:t>
      </w:r>
      <w:r w:rsidR="007F3E67" w:rsidRPr="007F3E67">
        <w:rPr>
          <w:lang w:val="fr-FR"/>
        </w:rPr>
        <w:t>’</w:t>
      </w:r>
      <w:r w:rsidR="003921B5" w:rsidRPr="007F3E67">
        <w:rPr>
          <w:lang w:val="fr-FR"/>
        </w:rPr>
        <w:t xml:space="preserve">accès </w:t>
      </w:r>
      <w:r w:rsidR="00FD7C07" w:rsidRPr="007F3E67">
        <w:rPr>
          <w:lang w:val="fr-FR"/>
        </w:rPr>
        <w:t>aux toilettes</w:t>
      </w:r>
      <w:r w:rsidR="003921B5" w:rsidRPr="007F3E67">
        <w:rPr>
          <w:lang w:val="fr-FR"/>
        </w:rPr>
        <w:t xml:space="preserve"> </w:t>
      </w:r>
      <w:r w:rsidR="00E91D1F" w:rsidRPr="007F3E67">
        <w:rPr>
          <w:lang w:val="fr-FR"/>
        </w:rPr>
        <w:t xml:space="preserve">était </w:t>
      </w:r>
      <w:r w:rsidR="003921B5" w:rsidRPr="007F3E67">
        <w:rPr>
          <w:lang w:val="fr-FR"/>
        </w:rPr>
        <w:t xml:space="preserve">refusé </w:t>
      </w:r>
      <w:r w:rsidR="00A13CCB" w:rsidRPr="007F3E67">
        <w:rPr>
          <w:lang w:val="fr-FR"/>
        </w:rPr>
        <w:t>et</w:t>
      </w:r>
      <w:r w:rsidR="00344FC4" w:rsidRPr="007F3E67">
        <w:rPr>
          <w:lang w:val="fr-FR"/>
        </w:rPr>
        <w:t>,</w:t>
      </w:r>
      <w:r w:rsidR="004B2D7F" w:rsidRPr="007F3E67">
        <w:rPr>
          <w:lang w:val="fr-FR"/>
        </w:rPr>
        <w:t xml:space="preserve"> en tous cas</w:t>
      </w:r>
      <w:r w:rsidR="00344FC4" w:rsidRPr="007F3E67">
        <w:rPr>
          <w:lang w:val="fr-FR"/>
        </w:rPr>
        <w:t xml:space="preserve">, </w:t>
      </w:r>
      <w:r w:rsidR="0073580A" w:rsidRPr="007F3E67">
        <w:rPr>
          <w:lang w:val="fr-FR"/>
        </w:rPr>
        <w:t>les requérants o</w:t>
      </w:r>
      <w:r w:rsidR="00AB2E7D" w:rsidRPr="007F3E67">
        <w:rPr>
          <w:lang w:val="fr-FR"/>
        </w:rPr>
        <w:t>nt été fortement dissuadés de s</w:t>
      </w:r>
      <w:r w:rsidR="007F3E67" w:rsidRPr="007F3E67">
        <w:rPr>
          <w:lang w:val="fr-FR"/>
        </w:rPr>
        <w:t>’</w:t>
      </w:r>
      <w:r w:rsidR="00AB2E7D" w:rsidRPr="007F3E67">
        <w:rPr>
          <w:lang w:val="fr-FR"/>
        </w:rPr>
        <w:t>y rendre</w:t>
      </w:r>
      <w:r w:rsidR="00344FC4" w:rsidRPr="007F3E67">
        <w:rPr>
          <w:lang w:val="fr-FR"/>
        </w:rPr>
        <w:t xml:space="preserve"> </w:t>
      </w:r>
      <w:r w:rsidR="003921B5" w:rsidRPr="007F3E67">
        <w:rPr>
          <w:lang w:val="fr-FR"/>
        </w:rPr>
        <w:t xml:space="preserve">en raison des insultes, </w:t>
      </w:r>
      <w:r w:rsidR="00344FC4" w:rsidRPr="007F3E67">
        <w:rPr>
          <w:lang w:val="fr-FR"/>
        </w:rPr>
        <w:t xml:space="preserve">des </w:t>
      </w:r>
      <w:r w:rsidR="003921B5" w:rsidRPr="007F3E67">
        <w:rPr>
          <w:lang w:val="fr-FR"/>
        </w:rPr>
        <w:t xml:space="preserve">violences et </w:t>
      </w:r>
      <w:r w:rsidR="00344FC4" w:rsidRPr="007F3E67">
        <w:rPr>
          <w:lang w:val="fr-FR"/>
        </w:rPr>
        <w:t xml:space="preserve">des </w:t>
      </w:r>
      <w:r w:rsidRPr="007F3E67">
        <w:rPr>
          <w:lang w:val="fr-FR"/>
        </w:rPr>
        <w:t>humiliations</w:t>
      </w:r>
      <w:r w:rsidR="003921B5" w:rsidRPr="007F3E67">
        <w:rPr>
          <w:lang w:val="fr-FR"/>
        </w:rPr>
        <w:t xml:space="preserve"> </w:t>
      </w:r>
      <w:r w:rsidRPr="007F3E67">
        <w:rPr>
          <w:lang w:val="fr-FR"/>
        </w:rPr>
        <w:t>subies par les</w:t>
      </w:r>
      <w:r w:rsidR="0060252D" w:rsidRPr="007F3E67">
        <w:rPr>
          <w:lang w:val="fr-FR"/>
        </w:rPr>
        <w:t xml:space="preserve"> perso</w:t>
      </w:r>
      <w:r w:rsidR="004B2D7F" w:rsidRPr="007F3E67">
        <w:rPr>
          <w:lang w:val="fr-FR"/>
        </w:rPr>
        <w:t xml:space="preserve">nnes </w:t>
      </w:r>
      <w:r w:rsidR="007A19DF" w:rsidRPr="007F3E67">
        <w:rPr>
          <w:lang w:val="fr-FR"/>
        </w:rPr>
        <w:t xml:space="preserve">ayant demandé </w:t>
      </w:r>
      <w:r w:rsidR="00344FC4" w:rsidRPr="007F3E67">
        <w:rPr>
          <w:lang w:val="fr-FR"/>
        </w:rPr>
        <w:t xml:space="preserve">à </w:t>
      </w:r>
      <w:r w:rsidR="007A19DF" w:rsidRPr="007F3E67">
        <w:rPr>
          <w:lang w:val="fr-FR"/>
        </w:rPr>
        <w:t>y accéder</w:t>
      </w:r>
      <w:r w:rsidR="003921B5" w:rsidRPr="007F3E67">
        <w:rPr>
          <w:lang w:val="fr-FR"/>
        </w:rPr>
        <w:t>.</w:t>
      </w:r>
      <w:r w:rsidR="00344FC4" w:rsidRPr="007F3E67">
        <w:rPr>
          <w:lang w:val="fr-FR"/>
        </w:rPr>
        <w:t xml:space="preserve"> En outre,</w:t>
      </w:r>
      <w:r w:rsidR="0060252D" w:rsidRPr="007F3E67">
        <w:rPr>
          <w:lang w:val="fr-FR"/>
        </w:rPr>
        <w:t xml:space="preserve"> </w:t>
      </w:r>
      <w:r w:rsidR="00344FC4" w:rsidRPr="007F3E67">
        <w:rPr>
          <w:lang w:val="fr-FR"/>
        </w:rPr>
        <w:t>i</w:t>
      </w:r>
      <w:r w:rsidR="0060252D" w:rsidRPr="007F3E67">
        <w:rPr>
          <w:lang w:val="fr-FR"/>
        </w:rPr>
        <w:t>l y a lieu de remarquer</w:t>
      </w:r>
      <w:r w:rsidR="007A19DF" w:rsidRPr="007F3E67">
        <w:rPr>
          <w:lang w:val="fr-FR"/>
        </w:rPr>
        <w:t xml:space="preserve"> que </w:t>
      </w:r>
      <w:r w:rsidR="007956F7" w:rsidRPr="007F3E67">
        <w:rPr>
          <w:rStyle w:val="ECHRParaChar"/>
          <w:lang w:val="fr-FR"/>
        </w:rPr>
        <w:t>l</w:t>
      </w:r>
      <w:r w:rsidR="007F3E67" w:rsidRPr="007F3E67">
        <w:rPr>
          <w:rStyle w:val="ECHRParaChar"/>
          <w:lang w:val="fr-FR"/>
        </w:rPr>
        <w:t>’</w:t>
      </w:r>
      <w:r w:rsidR="007956F7" w:rsidRPr="007F3E67">
        <w:rPr>
          <w:rStyle w:val="ECHRParaChar"/>
          <w:lang w:val="fr-FR"/>
        </w:rPr>
        <w:t>absence de nourriture</w:t>
      </w:r>
      <w:r w:rsidR="007A19DF" w:rsidRPr="007F3E67">
        <w:rPr>
          <w:rStyle w:val="ECHRParaChar"/>
          <w:lang w:val="fr-FR"/>
        </w:rPr>
        <w:t xml:space="preserve"> et de draps en quantité suffisante</w:t>
      </w:r>
      <w:r w:rsidRPr="007F3E67">
        <w:rPr>
          <w:rStyle w:val="ECHRParaChar"/>
          <w:lang w:val="fr-FR"/>
        </w:rPr>
        <w:t>,</w:t>
      </w:r>
      <w:r w:rsidR="004B2D7F" w:rsidRPr="007F3E67">
        <w:rPr>
          <w:rStyle w:val="ECHRParaChar"/>
          <w:lang w:val="fr-FR"/>
        </w:rPr>
        <w:t xml:space="preserve"> </w:t>
      </w:r>
      <w:r w:rsidR="00344FC4" w:rsidRPr="007F3E67">
        <w:rPr>
          <w:rStyle w:val="ECHRParaChar"/>
          <w:lang w:val="fr-FR"/>
        </w:rPr>
        <w:t xml:space="preserve">ce </w:t>
      </w:r>
      <w:r w:rsidR="004B2D7F" w:rsidRPr="007F3E67">
        <w:rPr>
          <w:rStyle w:val="ECHRParaChar"/>
          <w:lang w:val="fr-FR"/>
        </w:rPr>
        <w:t>qu</w:t>
      </w:r>
      <w:r w:rsidR="007A19DF" w:rsidRPr="007F3E67">
        <w:rPr>
          <w:rStyle w:val="ECHRParaChar"/>
          <w:lang w:val="fr-FR"/>
        </w:rPr>
        <w:t>i</w:t>
      </w:r>
      <w:r w:rsidR="00344FC4" w:rsidRPr="007F3E67">
        <w:rPr>
          <w:rStyle w:val="ECHRParaChar"/>
          <w:lang w:val="fr-FR"/>
        </w:rPr>
        <w:t>,</w:t>
      </w:r>
      <w:r w:rsidR="004B2D7F" w:rsidRPr="007F3E67">
        <w:rPr>
          <w:rStyle w:val="ECHRParaChar"/>
          <w:lang w:val="fr-FR"/>
        </w:rPr>
        <w:t xml:space="preserve"> d</w:t>
      </w:r>
      <w:r w:rsidR="007F3E67" w:rsidRPr="007F3E67">
        <w:rPr>
          <w:rStyle w:val="ECHRParaChar"/>
          <w:lang w:val="fr-FR"/>
        </w:rPr>
        <w:t>’</w:t>
      </w:r>
      <w:r w:rsidR="004B2D7F" w:rsidRPr="007F3E67">
        <w:rPr>
          <w:rStyle w:val="ECHRParaChar"/>
          <w:lang w:val="fr-FR"/>
        </w:rPr>
        <w:t>après les juge</w:t>
      </w:r>
      <w:r w:rsidR="00344FC4" w:rsidRPr="007F3E67">
        <w:rPr>
          <w:rStyle w:val="ECHRParaChar"/>
          <w:lang w:val="fr-FR"/>
        </w:rPr>
        <w:t>s</w:t>
      </w:r>
      <w:r w:rsidR="004B2D7F" w:rsidRPr="007F3E67">
        <w:rPr>
          <w:rStyle w:val="ECHRParaChar"/>
          <w:lang w:val="fr-FR"/>
        </w:rPr>
        <w:t xml:space="preserve"> nationaux</w:t>
      </w:r>
      <w:r w:rsidR="00344FC4" w:rsidRPr="007F3E67">
        <w:rPr>
          <w:rStyle w:val="ECHRParaChar"/>
          <w:lang w:val="fr-FR"/>
        </w:rPr>
        <w:t>,</w:t>
      </w:r>
      <w:r w:rsidR="007956F7" w:rsidRPr="007F3E67">
        <w:rPr>
          <w:rStyle w:val="ECHRParaChar"/>
          <w:lang w:val="fr-FR"/>
        </w:rPr>
        <w:t xml:space="preserve"> ne découl</w:t>
      </w:r>
      <w:r w:rsidR="007A19DF" w:rsidRPr="007F3E67">
        <w:rPr>
          <w:rStyle w:val="ECHRParaChar"/>
          <w:lang w:val="fr-FR"/>
        </w:rPr>
        <w:t>ait</w:t>
      </w:r>
      <w:r w:rsidR="004B2D7F" w:rsidRPr="007F3E67">
        <w:rPr>
          <w:rStyle w:val="ECHRParaChar"/>
          <w:lang w:val="fr-FR"/>
        </w:rPr>
        <w:t xml:space="preserve"> </w:t>
      </w:r>
      <w:r w:rsidR="007956F7" w:rsidRPr="007F3E67">
        <w:rPr>
          <w:rStyle w:val="ECHRParaChar"/>
          <w:lang w:val="fr-FR"/>
        </w:rPr>
        <w:t>pas</w:t>
      </w:r>
      <w:r w:rsidR="007A19DF" w:rsidRPr="007F3E67">
        <w:rPr>
          <w:rStyle w:val="ECHRParaChar"/>
          <w:lang w:val="fr-FR"/>
        </w:rPr>
        <w:t xml:space="preserve"> tant</w:t>
      </w:r>
      <w:r w:rsidR="007956F7" w:rsidRPr="007F3E67">
        <w:rPr>
          <w:rStyle w:val="ECHRParaChar"/>
          <w:lang w:val="fr-FR"/>
        </w:rPr>
        <w:t xml:space="preserve"> d</w:t>
      </w:r>
      <w:r w:rsidR="007F3E67" w:rsidRPr="007F3E67">
        <w:rPr>
          <w:rStyle w:val="ECHRParaChar"/>
          <w:lang w:val="fr-FR"/>
        </w:rPr>
        <w:t>’</w:t>
      </w:r>
      <w:r w:rsidR="007956F7" w:rsidRPr="007F3E67">
        <w:rPr>
          <w:rStyle w:val="ECHRParaChar"/>
          <w:lang w:val="fr-FR"/>
        </w:rPr>
        <w:t xml:space="preserve">une volonté délibérée </w:t>
      </w:r>
      <w:r w:rsidR="004B2D7F" w:rsidRPr="007F3E67">
        <w:rPr>
          <w:rStyle w:val="ECHRParaChar"/>
          <w:lang w:val="fr-FR"/>
        </w:rPr>
        <w:t>d</w:t>
      </w:r>
      <w:r w:rsidR="007F3E67" w:rsidRPr="007F3E67">
        <w:rPr>
          <w:rStyle w:val="ECHRParaChar"/>
          <w:lang w:val="fr-FR"/>
        </w:rPr>
        <w:t>’</w:t>
      </w:r>
      <w:r w:rsidR="004B2D7F" w:rsidRPr="007F3E67">
        <w:rPr>
          <w:rStyle w:val="ECHRParaChar"/>
          <w:lang w:val="fr-FR"/>
        </w:rPr>
        <w:t>en</w:t>
      </w:r>
      <w:r w:rsidR="007956F7" w:rsidRPr="007F3E67">
        <w:rPr>
          <w:rStyle w:val="ECHRParaChar"/>
          <w:lang w:val="fr-FR"/>
        </w:rPr>
        <w:t xml:space="preserve"> </w:t>
      </w:r>
      <w:r w:rsidR="004B2D7F" w:rsidRPr="007F3E67">
        <w:rPr>
          <w:rStyle w:val="ECHRParaChar"/>
          <w:lang w:val="fr-FR"/>
        </w:rPr>
        <w:t>priver</w:t>
      </w:r>
      <w:r w:rsidR="007956F7" w:rsidRPr="007F3E67">
        <w:rPr>
          <w:rStyle w:val="ECHRParaChar"/>
          <w:lang w:val="fr-FR"/>
        </w:rPr>
        <w:t xml:space="preserve"> les requérants </w:t>
      </w:r>
      <w:r w:rsidR="004B2D7F" w:rsidRPr="007F3E67">
        <w:rPr>
          <w:rStyle w:val="ECHRParaChar"/>
          <w:lang w:val="fr-FR"/>
        </w:rPr>
        <w:t>que</w:t>
      </w:r>
      <w:r w:rsidR="007956F7" w:rsidRPr="007F3E67">
        <w:rPr>
          <w:rStyle w:val="ECHRParaChar"/>
          <w:lang w:val="fr-FR"/>
        </w:rPr>
        <w:t xml:space="preserve"> d</w:t>
      </w:r>
      <w:r w:rsidR="007F3E67" w:rsidRPr="007F3E67">
        <w:rPr>
          <w:rStyle w:val="ECHRParaChar"/>
          <w:lang w:val="fr-FR"/>
        </w:rPr>
        <w:t>’</w:t>
      </w:r>
      <w:r w:rsidR="007956F7" w:rsidRPr="007F3E67">
        <w:rPr>
          <w:rStyle w:val="ECHRParaChar"/>
          <w:lang w:val="fr-FR"/>
        </w:rPr>
        <w:t>une mauvaise planification d</w:t>
      </w:r>
      <w:r w:rsidR="007A19DF" w:rsidRPr="007F3E67">
        <w:rPr>
          <w:rStyle w:val="ECHRParaChar"/>
          <w:lang w:val="fr-FR"/>
        </w:rPr>
        <w:t>u fonctionnement</w:t>
      </w:r>
      <w:r w:rsidR="007956F7" w:rsidRPr="007F3E67">
        <w:rPr>
          <w:rStyle w:val="ECHRParaChar"/>
          <w:lang w:val="fr-FR"/>
        </w:rPr>
        <w:t xml:space="preserve"> d</w:t>
      </w:r>
      <w:r w:rsidR="007A19DF" w:rsidRPr="007F3E67">
        <w:rPr>
          <w:rStyle w:val="ECHRParaChar"/>
          <w:lang w:val="fr-FR"/>
        </w:rPr>
        <w:t>u site</w:t>
      </w:r>
      <w:r w:rsidR="004B2D7F" w:rsidRPr="007F3E67">
        <w:rPr>
          <w:rStyle w:val="ECHRParaChar"/>
          <w:lang w:val="fr-FR"/>
        </w:rPr>
        <w:t>, ne peut qu</w:t>
      </w:r>
      <w:r w:rsidR="007F3E67" w:rsidRPr="007F3E67">
        <w:rPr>
          <w:rStyle w:val="ECHRParaChar"/>
          <w:lang w:val="fr-FR"/>
        </w:rPr>
        <w:t>’</w:t>
      </w:r>
      <w:r w:rsidR="004B2D7F" w:rsidRPr="007F3E67">
        <w:rPr>
          <w:rStyle w:val="ECHRParaChar"/>
          <w:lang w:val="fr-FR"/>
        </w:rPr>
        <w:t xml:space="preserve">avoir </w:t>
      </w:r>
      <w:r w:rsidR="0098152E" w:rsidRPr="007F3E67">
        <w:rPr>
          <w:rStyle w:val="ECHRParaChar"/>
          <w:lang w:val="fr-FR"/>
        </w:rPr>
        <w:t>amplifié</w:t>
      </w:r>
      <w:r w:rsidR="004B2D7F" w:rsidRPr="007F3E67">
        <w:rPr>
          <w:rStyle w:val="ECHRParaChar"/>
          <w:lang w:val="fr-FR"/>
        </w:rPr>
        <w:t xml:space="preserve"> </w:t>
      </w:r>
      <w:r w:rsidR="0098152E" w:rsidRPr="007F3E67">
        <w:rPr>
          <w:rStyle w:val="ECHRParaChar"/>
          <w:lang w:val="fr-FR"/>
        </w:rPr>
        <w:t xml:space="preserve">la situation de détresse et le niveau </w:t>
      </w:r>
      <w:r w:rsidR="004B2D7F" w:rsidRPr="007F3E67">
        <w:rPr>
          <w:rStyle w:val="ECHRParaChar"/>
          <w:lang w:val="fr-FR"/>
        </w:rPr>
        <w:t>de</w:t>
      </w:r>
      <w:r w:rsidR="0098152E" w:rsidRPr="007F3E67">
        <w:rPr>
          <w:rStyle w:val="ECHRParaChar"/>
          <w:lang w:val="fr-FR"/>
        </w:rPr>
        <w:t xml:space="preserve"> souffrance éprouvé</w:t>
      </w:r>
      <w:r w:rsidR="00AC01AA" w:rsidRPr="007F3E67">
        <w:rPr>
          <w:rStyle w:val="ECHRParaChar"/>
          <w:lang w:val="fr-FR"/>
        </w:rPr>
        <w:t>s</w:t>
      </w:r>
      <w:r w:rsidR="0098152E" w:rsidRPr="007F3E67">
        <w:rPr>
          <w:rStyle w:val="ECHRParaChar"/>
          <w:lang w:val="fr-FR"/>
        </w:rPr>
        <w:t xml:space="preserve"> par les requérants</w:t>
      </w:r>
      <w:r w:rsidR="007A19DF" w:rsidRPr="007F3E67">
        <w:rPr>
          <w:rStyle w:val="ECHRParaChar"/>
          <w:lang w:val="fr-FR"/>
        </w:rPr>
        <w:t>.</w:t>
      </w:r>
    </w:p>
    <w:p w:rsidR="00301040" w:rsidRPr="007F3E67" w:rsidRDefault="00D71B07" w:rsidP="007F3E67">
      <w:pPr>
        <w:pStyle w:val="ECHRPara"/>
        <w:rPr>
          <w:rStyle w:val="ECHRParaChar"/>
          <w:lang w:val="fr-FR"/>
        </w:rPr>
      </w:pPr>
      <w:r w:rsidRPr="007F3E67">
        <w:rPr>
          <w:rStyle w:val="ECHRParaChar"/>
          <w:lang w:val="fr-FR"/>
        </w:rPr>
        <w:fldChar w:fldCharType="begin"/>
      </w:r>
      <w:r w:rsidRPr="007F3E67">
        <w:rPr>
          <w:rStyle w:val="ECHRParaChar"/>
          <w:lang w:val="fr-FR"/>
        </w:rPr>
        <w:instrText xml:space="preserve"> SEQ level0 \*arabic </w:instrText>
      </w:r>
      <w:r w:rsidRPr="007F3E67">
        <w:rPr>
          <w:rStyle w:val="ECHRParaChar"/>
          <w:lang w:val="fr-FR"/>
        </w:rPr>
        <w:fldChar w:fldCharType="separate"/>
      </w:r>
      <w:r w:rsidR="007F3E67" w:rsidRPr="007F3E67">
        <w:rPr>
          <w:rStyle w:val="ECHRParaChar"/>
          <w:noProof/>
          <w:lang w:val="fr-FR"/>
        </w:rPr>
        <w:t>136</w:t>
      </w:r>
      <w:r w:rsidRPr="007F3E67">
        <w:rPr>
          <w:rStyle w:val="ECHRParaChar"/>
          <w:lang w:val="fr-FR"/>
        </w:rPr>
        <w:fldChar w:fldCharType="end"/>
      </w:r>
      <w:r w:rsidRPr="007F3E67">
        <w:rPr>
          <w:rStyle w:val="ECHRParaChar"/>
          <w:lang w:val="fr-FR"/>
        </w:rPr>
        <w:t>.  </w:t>
      </w:r>
      <w:r w:rsidR="004559E9" w:rsidRPr="007F3E67">
        <w:rPr>
          <w:rStyle w:val="ECHRParaChar"/>
          <w:lang w:val="fr-FR"/>
        </w:rPr>
        <w:t>En conclusion, la Cour ne saurait ignorer qu</w:t>
      </w:r>
      <w:r w:rsidR="00344FC4" w:rsidRPr="007F3E67">
        <w:rPr>
          <w:rStyle w:val="ECHRParaChar"/>
          <w:lang w:val="fr-FR"/>
        </w:rPr>
        <w:t xml:space="preserve">e, </w:t>
      </w:r>
      <w:r w:rsidR="004559E9" w:rsidRPr="007F3E67">
        <w:rPr>
          <w:rStyle w:val="ECHRParaChar"/>
          <w:lang w:val="fr-FR"/>
        </w:rPr>
        <w:t>en</w:t>
      </w:r>
      <w:r w:rsidR="00F53063" w:rsidRPr="007F3E67">
        <w:rPr>
          <w:rStyle w:val="ECHRParaChar"/>
          <w:lang w:val="fr-FR"/>
        </w:rPr>
        <w:t xml:space="preserve"> l</w:t>
      </w:r>
      <w:r w:rsidR="007F3E67" w:rsidRPr="007F3E67">
        <w:rPr>
          <w:rStyle w:val="ECHRParaChar"/>
          <w:lang w:val="fr-FR"/>
        </w:rPr>
        <w:t>’</w:t>
      </w:r>
      <w:r w:rsidR="00F53063" w:rsidRPr="007F3E67">
        <w:rPr>
          <w:rStyle w:val="ECHRParaChar"/>
          <w:lang w:val="fr-FR"/>
        </w:rPr>
        <w:t>espèce</w:t>
      </w:r>
      <w:r w:rsidR="004559E9" w:rsidRPr="007F3E67">
        <w:rPr>
          <w:rStyle w:val="ECHRParaChar"/>
          <w:lang w:val="fr-FR"/>
        </w:rPr>
        <w:t>, tel qu</w:t>
      </w:r>
      <w:r w:rsidR="007F3E67" w:rsidRPr="007F3E67">
        <w:rPr>
          <w:rStyle w:val="ECHRParaChar"/>
          <w:lang w:val="fr-FR"/>
        </w:rPr>
        <w:t>’</w:t>
      </w:r>
      <w:r w:rsidR="004559E9" w:rsidRPr="007F3E67">
        <w:rPr>
          <w:rStyle w:val="ECHRParaChar"/>
          <w:lang w:val="fr-FR"/>
        </w:rPr>
        <w:t xml:space="preserve">il ressort des jugements internes (paragraphe </w:t>
      </w:r>
      <w:r w:rsidR="009062E4" w:rsidRPr="007F3E67">
        <w:rPr>
          <w:rStyle w:val="ECHRParaChar"/>
          <w:lang w:val="fr-FR"/>
        </w:rPr>
        <w:fldChar w:fldCharType="begin"/>
      </w:r>
      <w:r w:rsidR="009062E4" w:rsidRPr="007F3E67">
        <w:rPr>
          <w:rStyle w:val="ECHRParaChar"/>
          <w:lang w:val="fr-FR"/>
        </w:rPr>
        <w:instrText xml:space="preserve"> REF FINALITE_MAUVAIS_TRAITEMENTS \h </w:instrText>
      </w:r>
      <w:r w:rsidR="007E235C" w:rsidRPr="007F3E67">
        <w:rPr>
          <w:rStyle w:val="ECHRParaChar"/>
          <w:lang w:val="fr-FR"/>
        </w:rPr>
        <w:instrText xml:space="preserve"> \* MERGEFORMAT </w:instrText>
      </w:r>
      <w:r w:rsidR="009062E4" w:rsidRPr="007F3E67">
        <w:rPr>
          <w:rStyle w:val="ECHRParaChar"/>
          <w:lang w:val="fr-FR"/>
        </w:rPr>
      </w:r>
      <w:r w:rsidR="009062E4" w:rsidRPr="007F3E67">
        <w:rPr>
          <w:rStyle w:val="ECHRParaChar"/>
          <w:lang w:val="fr-FR"/>
        </w:rPr>
        <w:fldChar w:fldCharType="separate"/>
      </w:r>
      <w:r w:rsidR="007F3E67" w:rsidRPr="007F3E67">
        <w:rPr>
          <w:noProof/>
          <w:lang w:val="fr-FR"/>
        </w:rPr>
        <w:t>67</w:t>
      </w:r>
      <w:r w:rsidR="009062E4" w:rsidRPr="007F3E67">
        <w:rPr>
          <w:rStyle w:val="ECHRParaChar"/>
          <w:lang w:val="fr-FR"/>
        </w:rPr>
        <w:fldChar w:fldCharType="end"/>
      </w:r>
      <w:r w:rsidR="004559E9" w:rsidRPr="007F3E67">
        <w:rPr>
          <w:rStyle w:val="ECHRParaChar"/>
          <w:lang w:val="fr-FR"/>
        </w:rPr>
        <w:t xml:space="preserve"> ci-dessus), </w:t>
      </w:r>
      <w:r w:rsidR="00F53063" w:rsidRPr="007F3E67">
        <w:rPr>
          <w:rStyle w:val="ECHRParaChar"/>
          <w:lang w:val="fr-FR"/>
        </w:rPr>
        <w:t>l</w:t>
      </w:r>
      <w:r w:rsidR="00264381" w:rsidRPr="007F3E67">
        <w:rPr>
          <w:rStyle w:val="ECHRParaChar"/>
          <w:lang w:val="fr-FR"/>
        </w:rPr>
        <w:t xml:space="preserve">es </w:t>
      </w:r>
      <w:r w:rsidR="004559E9" w:rsidRPr="007F3E67">
        <w:rPr>
          <w:rStyle w:val="ECHRParaChar"/>
          <w:lang w:val="fr-FR"/>
        </w:rPr>
        <w:t>actes</w:t>
      </w:r>
      <w:r w:rsidR="00F53063" w:rsidRPr="007F3E67">
        <w:rPr>
          <w:rStyle w:val="ECHRParaChar"/>
          <w:lang w:val="fr-FR"/>
        </w:rPr>
        <w:t xml:space="preserve"> </w:t>
      </w:r>
      <w:r w:rsidR="00503069" w:rsidRPr="007F3E67">
        <w:rPr>
          <w:rStyle w:val="ECHRParaChar"/>
          <w:lang w:val="fr-FR"/>
        </w:rPr>
        <w:t>qui ont été commis</w:t>
      </w:r>
      <w:r w:rsidR="004162C3" w:rsidRPr="007F3E67">
        <w:rPr>
          <w:rStyle w:val="ECHRParaChar"/>
          <w:lang w:val="fr-FR"/>
        </w:rPr>
        <w:t xml:space="preserve"> </w:t>
      </w:r>
      <w:r w:rsidR="00A13CCB" w:rsidRPr="007F3E67">
        <w:rPr>
          <w:rStyle w:val="ECHRParaChar"/>
          <w:lang w:val="fr-FR"/>
        </w:rPr>
        <w:t>dans</w:t>
      </w:r>
      <w:r w:rsidR="004162C3" w:rsidRPr="007F3E67">
        <w:rPr>
          <w:rStyle w:val="ECHRParaChar"/>
          <w:lang w:val="fr-FR"/>
        </w:rPr>
        <w:t xml:space="preserve"> la caserne de Bolzaneto</w:t>
      </w:r>
      <w:r w:rsidR="00F53063" w:rsidRPr="007F3E67">
        <w:rPr>
          <w:rStyle w:val="ECHRParaChar"/>
          <w:lang w:val="fr-FR"/>
        </w:rPr>
        <w:t xml:space="preserve"> </w:t>
      </w:r>
      <w:r w:rsidR="004559E9" w:rsidRPr="007F3E67">
        <w:rPr>
          <w:rStyle w:val="ECHRParaChar"/>
          <w:lang w:val="fr-FR"/>
        </w:rPr>
        <w:t xml:space="preserve">sont </w:t>
      </w:r>
      <w:r w:rsidR="00A13CCB" w:rsidRPr="007F3E67">
        <w:rPr>
          <w:rStyle w:val="ECHRParaChar"/>
          <w:lang w:val="fr-FR"/>
        </w:rPr>
        <w:t>l</w:t>
      </w:r>
      <w:r w:rsidR="007F3E67" w:rsidRPr="007F3E67">
        <w:rPr>
          <w:rStyle w:val="ECHRParaChar"/>
          <w:lang w:val="fr-FR"/>
        </w:rPr>
        <w:t>’</w:t>
      </w:r>
      <w:r w:rsidR="004559E9" w:rsidRPr="007F3E67">
        <w:rPr>
          <w:rStyle w:val="ECHRParaChar"/>
          <w:lang w:val="fr-FR"/>
        </w:rPr>
        <w:t>expression d</w:t>
      </w:r>
      <w:r w:rsidR="007F3E67" w:rsidRPr="007F3E67">
        <w:rPr>
          <w:rStyle w:val="ECHRParaChar"/>
          <w:lang w:val="fr-FR"/>
        </w:rPr>
        <w:t>’</w:t>
      </w:r>
      <w:r w:rsidR="004559E9" w:rsidRPr="007F3E67">
        <w:rPr>
          <w:rStyle w:val="ECHRParaChar"/>
          <w:lang w:val="fr-FR"/>
        </w:rPr>
        <w:t>une volonté punitive et de représailles à l</w:t>
      </w:r>
      <w:r w:rsidR="007F3E67" w:rsidRPr="007F3E67">
        <w:rPr>
          <w:rStyle w:val="ECHRParaChar"/>
          <w:lang w:val="fr-FR"/>
        </w:rPr>
        <w:t>’</w:t>
      </w:r>
      <w:r w:rsidR="004559E9" w:rsidRPr="007F3E67">
        <w:rPr>
          <w:rStyle w:val="ECHRParaChar"/>
          <w:lang w:val="fr-FR"/>
        </w:rPr>
        <w:t>égard</w:t>
      </w:r>
      <w:r w:rsidR="00264381" w:rsidRPr="007F3E67">
        <w:rPr>
          <w:rStyle w:val="ECHRParaChar"/>
          <w:lang w:val="fr-FR"/>
        </w:rPr>
        <w:t xml:space="preserve"> </w:t>
      </w:r>
      <w:r w:rsidR="004559E9" w:rsidRPr="007F3E67">
        <w:rPr>
          <w:rStyle w:val="ECHRParaChar"/>
          <w:lang w:val="fr-FR"/>
        </w:rPr>
        <w:t>d</w:t>
      </w:r>
      <w:r w:rsidR="007B5DE6" w:rsidRPr="007F3E67">
        <w:rPr>
          <w:rStyle w:val="ECHRParaChar"/>
          <w:lang w:val="fr-FR"/>
        </w:rPr>
        <w:t xml:space="preserve">es requérants, </w:t>
      </w:r>
      <w:r w:rsidR="004559E9" w:rsidRPr="007F3E67">
        <w:rPr>
          <w:rStyle w:val="ECHRParaChar"/>
          <w:lang w:val="fr-FR"/>
        </w:rPr>
        <w:t>privés</w:t>
      </w:r>
      <w:r w:rsidR="007B5DE6" w:rsidRPr="007F3E67">
        <w:rPr>
          <w:rStyle w:val="ECHRParaChar"/>
          <w:lang w:val="fr-FR"/>
        </w:rPr>
        <w:t xml:space="preserve"> de leur</w:t>
      </w:r>
      <w:r w:rsidR="00F0487A" w:rsidRPr="007F3E67">
        <w:rPr>
          <w:rStyle w:val="ECHRParaChar"/>
          <w:lang w:val="fr-FR"/>
        </w:rPr>
        <w:t>s</w:t>
      </w:r>
      <w:r w:rsidR="007B5DE6" w:rsidRPr="007F3E67">
        <w:rPr>
          <w:rStyle w:val="ECHRParaChar"/>
          <w:lang w:val="fr-FR"/>
        </w:rPr>
        <w:t xml:space="preserve"> droits et du niveau de protection reconnu à tout</w:t>
      </w:r>
      <w:r w:rsidRPr="007F3E67">
        <w:rPr>
          <w:rStyle w:val="ECHRParaChar"/>
          <w:lang w:val="fr-FR"/>
        </w:rPr>
        <w:t xml:space="preserve"> individu</w:t>
      </w:r>
      <w:r w:rsidR="007A19DF" w:rsidRPr="007F3E67">
        <w:rPr>
          <w:rStyle w:val="ECHRParaChar"/>
          <w:lang w:val="fr-FR"/>
        </w:rPr>
        <w:t xml:space="preserve"> par l</w:t>
      </w:r>
      <w:r w:rsidR="007F3E67" w:rsidRPr="007F3E67">
        <w:rPr>
          <w:rStyle w:val="ECHRParaChar"/>
          <w:lang w:val="fr-FR"/>
        </w:rPr>
        <w:t>’</w:t>
      </w:r>
      <w:r w:rsidR="007A19DF" w:rsidRPr="007F3E67">
        <w:rPr>
          <w:rStyle w:val="ECHRParaChar"/>
          <w:lang w:val="fr-FR"/>
        </w:rPr>
        <w:t>ordre juridique italien</w:t>
      </w:r>
      <w:r w:rsidR="00771066" w:rsidRPr="007F3E67">
        <w:rPr>
          <w:rStyle w:val="ECHRParaChar"/>
          <w:lang w:val="fr-FR"/>
        </w:rPr>
        <w:t xml:space="preserve"> (voir, </w:t>
      </w:r>
      <w:r w:rsidR="00771066" w:rsidRPr="007F3E67">
        <w:rPr>
          <w:rStyle w:val="ECHRParaChar"/>
          <w:i/>
          <w:lang w:val="fr-FR"/>
        </w:rPr>
        <w:t>mutatis mutandis</w:t>
      </w:r>
      <w:r w:rsidR="00771066" w:rsidRPr="007F3E67">
        <w:rPr>
          <w:rStyle w:val="ECHRParaChar"/>
          <w:lang w:val="fr-FR"/>
        </w:rPr>
        <w:t xml:space="preserve">, </w:t>
      </w:r>
      <w:r w:rsidR="00771066" w:rsidRPr="007F3E67">
        <w:rPr>
          <w:rStyle w:val="ECHRParaChar"/>
          <w:i/>
          <w:lang w:val="fr-FR"/>
        </w:rPr>
        <w:t>Cestaro</w:t>
      </w:r>
      <w:r w:rsidR="00771066" w:rsidRPr="007F3E67">
        <w:rPr>
          <w:rStyle w:val="ECHRParaChar"/>
          <w:lang w:val="fr-FR"/>
        </w:rPr>
        <w:t>, précité, § 177)</w:t>
      </w:r>
      <w:r w:rsidR="007B5DE6" w:rsidRPr="007F3E67">
        <w:rPr>
          <w:rStyle w:val="ECHRParaChar"/>
          <w:lang w:val="fr-FR"/>
        </w:rPr>
        <w:t>.</w:t>
      </w:r>
    </w:p>
    <w:p w:rsidR="00455811" w:rsidRPr="007F3E67" w:rsidRDefault="00322416" w:rsidP="007F3E67">
      <w:pPr>
        <w:pStyle w:val="ECHRPara"/>
        <w:rPr>
          <w:lang w:val="fr-FR"/>
        </w:rPr>
      </w:pPr>
      <w:r w:rsidRPr="007F3E67">
        <w:rPr>
          <w:lang w:val="fr-FR"/>
        </w:rPr>
        <w:fldChar w:fldCharType="begin"/>
      </w:r>
      <w:r w:rsidRPr="007F3E67">
        <w:rPr>
          <w:lang w:val="fr-FR"/>
        </w:rPr>
        <w:instrText xml:space="preserve"> SEQ level0 \*arabic </w:instrText>
      </w:r>
      <w:r w:rsidRPr="007F3E67">
        <w:rPr>
          <w:lang w:val="fr-FR"/>
        </w:rPr>
        <w:fldChar w:fldCharType="separate"/>
      </w:r>
      <w:r w:rsidR="007F3E67" w:rsidRPr="007F3E67">
        <w:rPr>
          <w:noProof/>
          <w:lang w:val="fr-FR"/>
        </w:rPr>
        <w:t>137</w:t>
      </w:r>
      <w:r w:rsidRPr="007F3E67">
        <w:rPr>
          <w:lang w:val="fr-FR"/>
        </w:rPr>
        <w:fldChar w:fldCharType="end"/>
      </w:r>
      <w:r w:rsidRPr="007F3E67">
        <w:rPr>
          <w:lang w:val="fr-FR"/>
        </w:rPr>
        <w:t>.  </w:t>
      </w:r>
      <w:r w:rsidR="00E77CB3" w:rsidRPr="007F3E67">
        <w:rPr>
          <w:lang w:val="fr-FR"/>
        </w:rPr>
        <w:t xml:space="preserve">Ces éléments suffisent à la Cour pour conclure que </w:t>
      </w:r>
      <w:r w:rsidR="00272C9A" w:rsidRPr="007F3E67">
        <w:rPr>
          <w:lang w:val="fr-FR"/>
        </w:rPr>
        <w:t>les acte</w:t>
      </w:r>
      <w:r w:rsidR="00D71B07" w:rsidRPr="007F3E67">
        <w:rPr>
          <w:lang w:val="fr-FR"/>
        </w:rPr>
        <w:t>s</w:t>
      </w:r>
      <w:r w:rsidR="00272C9A" w:rsidRPr="007F3E67">
        <w:rPr>
          <w:lang w:val="fr-FR"/>
        </w:rPr>
        <w:t xml:space="preserve"> de violence </w:t>
      </w:r>
      <w:r w:rsidR="00771066" w:rsidRPr="007F3E67">
        <w:rPr>
          <w:lang w:val="fr-FR"/>
        </w:rPr>
        <w:t xml:space="preserve">répétés </w:t>
      </w:r>
      <w:r w:rsidR="00D71B07" w:rsidRPr="007F3E67">
        <w:rPr>
          <w:lang w:val="fr-FR"/>
        </w:rPr>
        <w:t>subis par les requérants à l</w:t>
      </w:r>
      <w:r w:rsidR="007F3E67" w:rsidRPr="007F3E67">
        <w:rPr>
          <w:lang w:val="fr-FR"/>
        </w:rPr>
        <w:t>’</w:t>
      </w:r>
      <w:r w:rsidR="00D71B07" w:rsidRPr="007F3E67">
        <w:rPr>
          <w:lang w:val="fr-FR"/>
        </w:rPr>
        <w:t>intérieur de la caserne de Bolzaneto doivent être regardés comme des actes de torture. Partant, il y a eu violation de l</w:t>
      </w:r>
      <w:r w:rsidR="007F3E67" w:rsidRPr="007F3E67">
        <w:rPr>
          <w:lang w:val="fr-FR"/>
        </w:rPr>
        <w:t>’</w:t>
      </w:r>
      <w:r w:rsidR="00D71B07" w:rsidRPr="007F3E67">
        <w:rPr>
          <w:lang w:val="fr-FR"/>
        </w:rPr>
        <w:t>article 3 de la Convention sous son volet matériel.</w:t>
      </w:r>
    </w:p>
    <w:p w:rsidR="00455811" w:rsidRPr="007F3E67" w:rsidRDefault="009235D3" w:rsidP="007F3E67">
      <w:pPr>
        <w:pStyle w:val="ECHRHeading4"/>
        <w:rPr>
          <w:lang w:val="fr-FR"/>
        </w:rPr>
      </w:pPr>
      <w:r w:rsidRPr="007F3E67">
        <w:rPr>
          <w:lang w:val="fr-FR"/>
        </w:rPr>
        <w:t>b)</w:t>
      </w:r>
      <w:r w:rsidR="00455811" w:rsidRPr="007F3E67">
        <w:rPr>
          <w:lang w:val="fr-FR"/>
        </w:rPr>
        <w:t>  Sur le volet procédural de l</w:t>
      </w:r>
      <w:r w:rsidR="007F3E67" w:rsidRPr="007F3E67">
        <w:rPr>
          <w:lang w:val="fr-FR"/>
        </w:rPr>
        <w:t>’</w:t>
      </w:r>
      <w:r w:rsidR="00455811" w:rsidRPr="007F3E67">
        <w:rPr>
          <w:lang w:val="fr-FR"/>
        </w:rPr>
        <w:t>article 3 de la Convention</w:t>
      </w:r>
    </w:p>
    <w:p w:rsidR="00455811" w:rsidRPr="007F3E67" w:rsidRDefault="009235D3" w:rsidP="007F3E67">
      <w:pPr>
        <w:pStyle w:val="ECHRHeading5"/>
        <w:rPr>
          <w:lang w:val="fr-FR"/>
        </w:rPr>
      </w:pPr>
      <w:r w:rsidRPr="007F3E67">
        <w:rPr>
          <w:lang w:val="fr-FR"/>
        </w:rPr>
        <w:t>i.</w:t>
      </w:r>
      <w:r w:rsidR="00455811" w:rsidRPr="007F3E67">
        <w:rPr>
          <w:lang w:val="fr-FR"/>
        </w:rPr>
        <w:t>  Thèses des parties</w:t>
      </w:r>
    </w:p>
    <w:p w:rsidR="00455811" w:rsidRPr="007F3E67" w:rsidRDefault="009235D3" w:rsidP="007F3E67">
      <w:pPr>
        <w:pStyle w:val="ECHRHeading6"/>
        <w:rPr>
          <w:lang w:val="fr-FR"/>
        </w:rPr>
      </w:pPr>
      <w:r w:rsidRPr="007F3E67">
        <w:rPr>
          <w:rFonts w:cstheme="majorHAnsi"/>
          <w:lang w:val="fr-FR"/>
        </w:rPr>
        <w:t>α</w:t>
      </w:r>
      <w:r w:rsidRPr="007F3E67">
        <w:rPr>
          <w:lang w:val="fr-FR"/>
        </w:rPr>
        <w:t>)</w:t>
      </w:r>
      <w:r w:rsidR="00455811" w:rsidRPr="007F3E67">
        <w:rPr>
          <w:lang w:val="fr-FR"/>
        </w:rPr>
        <w:t>  Le</w:t>
      </w:r>
      <w:r w:rsidR="00F4680F" w:rsidRPr="007F3E67">
        <w:rPr>
          <w:lang w:val="fr-FR"/>
        </w:rPr>
        <w:t>s</w:t>
      </w:r>
      <w:r w:rsidR="00455811" w:rsidRPr="007F3E67">
        <w:rPr>
          <w:lang w:val="fr-FR"/>
        </w:rPr>
        <w:t xml:space="preserve"> requérant</w:t>
      </w:r>
      <w:r w:rsidR="00F4680F" w:rsidRPr="007F3E67">
        <w:rPr>
          <w:lang w:val="fr-FR"/>
        </w:rPr>
        <w:t>s</w:t>
      </w:r>
    </w:p>
    <w:p w:rsidR="00272C9A" w:rsidRPr="007F3E67" w:rsidRDefault="00272C9A" w:rsidP="007F3E67">
      <w:pPr>
        <w:pStyle w:val="ECHRPara"/>
        <w:rPr>
          <w:lang w:val="pt-PT"/>
        </w:rPr>
      </w:pPr>
      <w:r w:rsidRPr="007F3E67">
        <w:rPr>
          <w:lang w:val="fr-FR"/>
        </w:rPr>
        <w:fldChar w:fldCharType="begin"/>
      </w:r>
      <w:r w:rsidRPr="007F3E67">
        <w:rPr>
          <w:lang w:val="fr-FR"/>
        </w:rPr>
        <w:instrText xml:space="preserve"> SEQ level0 \*arabic </w:instrText>
      </w:r>
      <w:r w:rsidRPr="007F3E67">
        <w:rPr>
          <w:lang w:val="fr-FR"/>
        </w:rPr>
        <w:fldChar w:fldCharType="separate"/>
      </w:r>
      <w:r w:rsidR="007F3E67" w:rsidRPr="007F3E67">
        <w:rPr>
          <w:noProof/>
          <w:lang w:val="fr-FR"/>
        </w:rPr>
        <w:t>138</w:t>
      </w:r>
      <w:r w:rsidRPr="007F3E67">
        <w:rPr>
          <w:lang w:val="fr-FR"/>
        </w:rPr>
        <w:fldChar w:fldCharType="end"/>
      </w:r>
      <w:r w:rsidRPr="007F3E67">
        <w:rPr>
          <w:lang w:val="fr-FR"/>
        </w:rPr>
        <w:t>.  </w:t>
      </w:r>
      <w:r w:rsidR="00F4680F" w:rsidRPr="007F3E67">
        <w:rPr>
          <w:lang w:val="fr-FR"/>
        </w:rPr>
        <w:t>Les requérants, nonobstant la méticuleuse enquête menée par le procureur de la République de G</w:t>
      </w:r>
      <w:r w:rsidR="00771066" w:rsidRPr="007F3E67">
        <w:rPr>
          <w:lang w:val="fr-FR"/>
        </w:rPr>
        <w:t>ê</w:t>
      </w:r>
      <w:r w:rsidR="00F4680F" w:rsidRPr="007F3E67">
        <w:rPr>
          <w:lang w:val="fr-FR"/>
        </w:rPr>
        <w:t>nes et les conclusions du tribunal de première instance et de la cour d</w:t>
      </w:r>
      <w:r w:rsidR="007F3E67" w:rsidRPr="007F3E67">
        <w:rPr>
          <w:lang w:val="fr-FR"/>
        </w:rPr>
        <w:t>’</w:t>
      </w:r>
      <w:r w:rsidR="00F4680F" w:rsidRPr="007F3E67">
        <w:rPr>
          <w:lang w:val="fr-FR"/>
        </w:rPr>
        <w:t>appel de G</w:t>
      </w:r>
      <w:r w:rsidR="00771066" w:rsidRPr="007F3E67">
        <w:rPr>
          <w:lang w:val="fr-FR"/>
        </w:rPr>
        <w:t>ê</w:t>
      </w:r>
      <w:r w:rsidR="00F4680F" w:rsidRPr="007F3E67">
        <w:rPr>
          <w:lang w:val="fr-FR"/>
        </w:rPr>
        <w:t xml:space="preserve">nes </w:t>
      </w:r>
      <w:r w:rsidR="00770349" w:rsidRPr="007F3E67">
        <w:rPr>
          <w:lang w:val="fr-FR"/>
        </w:rPr>
        <w:t>ayant permis d</w:t>
      </w:r>
      <w:r w:rsidR="007F3E67" w:rsidRPr="007F3E67">
        <w:rPr>
          <w:lang w:val="fr-FR"/>
        </w:rPr>
        <w:t>’</w:t>
      </w:r>
      <w:r w:rsidR="00770349" w:rsidRPr="007F3E67">
        <w:rPr>
          <w:lang w:val="fr-FR"/>
        </w:rPr>
        <w:t>établir</w:t>
      </w:r>
      <w:r w:rsidR="00F4680F" w:rsidRPr="007F3E67">
        <w:rPr>
          <w:lang w:val="fr-FR"/>
        </w:rPr>
        <w:t xml:space="preserve"> les faits </w:t>
      </w:r>
      <w:r w:rsidR="00012384" w:rsidRPr="007F3E67">
        <w:rPr>
          <w:lang w:val="fr-FR"/>
        </w:rPr>
        <w:t>allégués</w:t>
      </w:r>
      <w:r w:rsidR="00F4680F" w:rsidRPr="007F3E67">
        <w:rPr>
          <w:lang w:val="fr-FR"/>
        </w:rPr>
        <w:t xml:space="preserve">, </w:t>
      </w:r>
      <w:r w:rsidR="0073580A" w:rsidRPr="007F3E67">
        <w:rPr>
          <w:lang w:val="fr-FR"/>
        </w:rPr>
        <w:t>reprochent aux juges d</w:t>
      </w:r>
      <w:r w:rsidR="007F3E67" w:rsidRPr="007F3E67">
        <w:rPr>
          <w:lang w:val="fr-FR"/>
        </w:rPr>
        <w:t>’</w:t>
      </w:r>
      <w:r w:rsidR="0073580A" w:rsidRPr="007F3E67">
        <w:rPr>
          <w:lang w:val="fr-FR"/>
        </w:rPr>
        <w:t>avoir</w:t>
      </w:r>
      <w:r w:rsidR="00F4680F" w:rsidRPr="007F3E67">
        <w:rPr>
          <w:lang w:val="fr-FR"/>
        </w:rPr>
        <w:t xml:space="preserve"> appliqué la prescription </w:t>
      </w:r>
      <w:r w:rsidR="00012384" w:rsidRPr="007F3E67">
        <w:rPr>
          <w:lang w:val="fr-FR"/>
        </w:rPr>
        <w:t>à</w:t>
      </w:r>
      <w:r w:rsidR="00F4680F" w:rsidRPr="007F3E67">
        <w:rPr>
          <w:lang w:val="fr-FR"/>
        </w:rPr>
        <w:t xml:space="preserve"> la quasi-totalité des délits </w:t>
      </w:r>
      <w:r w:rsidR="00771066" w:rsidRPr="007F3E67">
        <w:rPr>
          <w:lang w:val="fr-FR"/>
        </w:rPr>
        <w:t xml:space="preserve">imputés </w:t>
      </w:r>
      <w:r w:rsidR="00F4680F" w:rsidRPr="007F3E67">
        <w:rPr>
          <w:lang w:val="fr-FR"/>
        </w:rPr>
        <w:t xml:space="preserve">aux accusés. </w:t>
      </w:r>
      <w:r w:rsidR="002D5285" w:rsidRPr="007F3E67">
        <w:rPr>
          <w:lang w:val="fr-FR"/>
        </w:rPr>
        <w:t>Ils indiquent que seuls des délits mineurs ont été retenus à l</w:t>
      </w:r>
      <w:r w:rsidR="007F3E67" w:rsidRPr="007F3E67">
        <w:rPr>
          <w:lang w:val="fr-FR"/>
        </w:rPr>
        <w:t>’</w:t>
      </w:r>
      <w:r w:rsidR="002D5285" w:rsidRPr="007F3E67">
        <w:rPr>
          <w:lang w:val="fr-FR"/>
        </w:rPr>
        <w:t>égard d</w:t>
      </w:r>
      <w:r w:rsidR="007F3E67" w:rsidRPr="007F3E67">
        <w:rPr>
          <w:lang w:val="fr-FR"/>
        </w:rPr>
        <w:t>’</w:t>
      </w:r>
      <w:r w:rsidR="002D5285" w:rsidRPr="007F3E67">
        <w:rPr>
          <w:lang w:val="fr-FR"/>
        </w:rPr>
        <w:t>un nombre réduit d</w:t>
      </w:r>
      <w:r w:rsidR="007F3E67" w:rsidRPr="007F3E67">
        <w:rPr>
          <w:lang w:val="fr-FR"/>
        </w:rPr>
        <w:t>’</w:t>
      </w:r>
      <w:r w:rsidR="002D5285" w:rsidRPr="007F3E67">
        <w:rPr>
          <w:lang w:val="fr-FR"/>
        </w:rPr>
        <w:t>accusés, lesquels auraient par ailleurs, en raison de la courte durée des peines prévues, bénéficié du sursis à l</w:t>
      </w:r>
      <w:r w:rsidR="007F3E67" w:rsidRPr="007F3E67">
        <w:rPr>
          <w:lang w:val="fr-FR"/>
        </w:rPr>
        <w:t>’</w:t>
      </w:r>
      <w:r w:rsidR="002D5285" w:rsidRPr="007F3E67">
        <w:rPr>
          <w:lang w:val="fr-FR"/>
        </w:rPr>
        <w:t>exécution ou d</w:t>
      </w:r>
      <w:r w:rsidR="007F3E67" w:rsidRPr="007F3E67">
        <w:rPr>
          <w:lang w:val="fr-FR"/>
        </w:rPr>
        <w:t>’</w:t>
      </w:r>
      <w:r w:rsidR="002D5285" w:rsidRPr="007F3E67">
        <w:rPr>
          <w:lang w:val="fr-FR"/>
        </w:rPr>
        <w:t>une remise de peine en application de la loi n</w:t>
      </w:r>
      <w:r w:rsidR="002D5285" w:rsidRPr="007F3E67">
        <w:rPr>
          <w:vertAlign w:val="superscript"/>
          <w:lang w:val="fr-FR"/>
        </w:rPr>
        <w:t>o</w:t>
      </w:r>
      <w:r w:rsidR="002D5285" w:rsidRPr="007F3E67">
        <w:rPr>
          <w:lang w:val="fr-FR"/>
        </w:rPr>
        <w:t xml:space="preserve"> 241 du 29 juillet 2006. Ils dénoncent ainsi l</w:t>
      </w:r>
      <w:r w:rsidR="007F3E67" w:rsidRPr="007F3E67">
        <w:rPr>
          <w:lang w:val="fr-FR"/>
        </w:rPr>
        <w:t>’</w:t>
      </w:r>
      <w:r w:rsidR="002D5285" w:rsidRPr="007F3E67">
        <w:rPr>
          <w:lang w:val="fr-FR"/>
        </w:rPr>
        <w:t xml:space="preserve">issue de la procédure pénale et évoquent à cet égard les arrêts de la Cour </w:t>
      </w:r>
      <w:r w:rsidR="007F3E67" w:rsidRPr="007F3E67">
        <w:rPr>
          <w:i/>
          <w:lang w:val="fr-FR"/>
        </w:rPr>
        <w:t>Abdülsamet Yaman c. </w:t>
      </w:r>
      <w:r w:rsidR="002D5285" w:rsidRPr="007F3E67">
        <w:rPr>
          <w:i/>
          <w:lang w:val="fr-FR"/>
        </w:rPr>
        <w:t>Turquie</w:t>
      </w:r>
      <w:r w:rsidR="002D5285" w:rsidRPr="007F3E67">
        <w:rPr>
          <w:lang w:val="fr-FR"/>
        </w:rPr>
        <w:t xml:space="preserve"> (n</w:t>
      </w:r>
      <w:r w:rsidR="002D5285" w:rsidRPr="007F3E67">
        <w:rPr>
          <w:vertAlign w:val="superscript"/>
          <w:lang w:val="fr-FR"/>
        </w:rPr>
        <w:t>o</w:t>
      </w:r>
      <w:r w:rsidR="002D5285" w:rsidRPr="007F3E67">
        <w:rPr>
          <w:lang w:val="fr-FR"/>
        </w:rPr>
        <w:t xml:space="preserve"> 32446/96, § 55, 2 novembre 2004) et </w:t>
      </w:r>
      <w:r w:rsidR="002D5285" w:rsidRPr="007F3E67">
        <w:rPr>
          <w:i/>
          <w:lang w:val="pt-PT"/>
        </w:rPr>
        <w:t>Ali et Ayşe</w:t>
      </w:r>
      <w:r w:rsidR="002D5285" w:rsidRPr="007F3E67">
        <w:rPr>
          <w:lang w:val="pt-PT"/>
        </w:rPr>
        <w:t xml:space="preserve"> </w:t>
      </w:r>
      <w:r w:rsidR="002D5285" w:rsidRPr="007F3E67">
        <w:rPr>
          <w:i/>
          <w:lang w:val="pt-PT"/>
        </w:rPr>
        <w:t>Duran c. Turquie</w:t>
      </w:r>
      <w:r w:rsidR="002D5285" w:rsidRPr="007F3E67">
        <w:rPr>
          <w:lang w:val="pt-PT"/>
        </w:rPr>
        <w:t xml:space="preserve"> (n</w:t>
      </w:r>
      <w:r w:rsidR="002D5285" w:rsidRPr="007F3E67">
        <w:rPr>
          <w:vertAlign w:val="superscript"/>
          <w:lang w:val="pt-PT"/>
        </w:rPr>
        <w:t>o</w:t>
      </w:r>
      <w:r w:rsidR="002D5285" w:rsidRPr="007F3E67">
        <w:rPr>
          <w:lang w:val="pt-PT"/>
        </w:rPr>
        <w:t xml:space="preserve"> 42942/02, § 69, 8 </w:t>
      </w:r>
      <w:r w:rsidR="002D5285" w:rsidRPr="007F3E67">
        <w:rPr>
          <w:lang w:val="fr-FR"/>
        </w:rPr>
        <w:t>avril</w:t>
      </w:r>
      <w:r w:rsidR="002D5285" w:rsidRPr="007F3E67">
        <w:rPr>
          <w:lang w:val="pt-PT"/>
        </w:rPr>
        <w:t xml:space="preserve"> 2008).</w:t>
      </w:r>
    </w:p>
    <w:p w:rsidR="00832C49" w:rsidRPr="007F3E67" w:rsidRDefault="00832C49" w:rsidP="007F3E67">
      <w:pPr>
        <w:pStyle w:val="ECHRPara"/>
        <w:rPr>
          <w:i/>
          <w:lang w:val="fr-FR"/>
        </w:rPr>
      </w:pPr>
      <w:r w:rsidRPr="007F3E67">
        <w:rPr>
          <w:lang w:val="pt-PT"/>
        </w:rPr>
        <w:fldChar w:fldCharType="begin"/>
      </w:r>
      <w:r w:rsidRPr="007F3E67">
        <w:rPr>
          <w:lang w:val="pt-PT"/>
        </w:rPr>
        <w:instrText xml:space="preserve"> SEQ level0 \*arabic </w:instrText>
      </w:r>
      <w:r w:rsidRPr="007F3E67">
        <w:rPr>
          <w:lang w:val="pt-PT"/>
        </w:rPr>
        <w:fldChar w:fldCharType="separate"/>
      </w:r>
      <w:r w:rsidR="007F3E67" w:rsidRPr="007F3E67">
        <w:rPr>
          <w:noProof/>
          <w:lang w:val="pt-PT"/>
        </w:rPr>
        <w:t>139</w:t>
      </w:r>
      <w:r w:rsidRPr="007F3E67">
        <w:rPr>
          <w:lang w:val="pt-PT"/>
        </w:rPr>
        <w:fldChar w:fldCharType="end"/>
      </w:r>
      <w:r w:rsidRPr="007F3E67">
        <w:rPr>
          <w:lang w:val="pt-PT"/>
        </w:rPr>
        <w:t>.  </w:t>
      </w:r>
      <w:r w:rsidR="002D5285" w:rsidRPr="007F3E67">
        <w:rPr>
          <w:lang w:val="fr-FR"/>
        </w:rPr>
        <w:t>Les requérants précisent qu</w:t>
      </w:r>
      <w:r w:rsidR="007F3E67" w:rsidRPr="007F3E67">
        <w:rPr>
          <w:lang w:val="fr-FR"/>
        </w:rPr>
        <w:t>’</w:t>
      </w:r>
      <w:r w:rsidR="002D5285" w:rsidRPr="007F3E67">
        <w:rPr>
          <w:lang w:val="fr-FR"/>
        </w:rPr>
        <w:t>en outre les responsables des événements de la caserne de Bolzaneto n</w:t>
      </w:r>
      <w:r w:rsidR="007F3E67" w:rsidRPr="007F3E67">
        <w:rPr>
          <w:lang w:val="fr-FR"/>
        </w:rPr>
        <w:t>’</w:t>
      </w:r>
      <w:r w:rsidR="002D5285" w:rsidRPr="007F3E67">
        <w:rPr>
          <w:lang w:val="fr-FR"/>
        </w:rPr>
        <w:t>ont été punis par aucune mesure disciplinaire de suspension pendant le procès ou de sanction à l</w:t>
      </w:r>
      <w:r w:rsidR="007F3E67" w:rsidRPr="007F3E67">
        <w:rPr>
          <w:lang w:val="fr-FR"/>
        </w:rPr>
        <w:t>’</w:t>
      </w:r>
      <w:r w:rsidR="002D5285" w:rsidRPr="007F3E67">
        <w:rPr>
          <w:lang w:val="fr-FR"/>
        </w:rPr>
        <w:t>issue de celui-ci, et qu</w:t>
      </w:r>
      <w:r w:rsidR="007F3E67" w:rsidRPr="007F3E67">
        <w:rPr>
          <w:lang w:val="fr-FR"/>
        </w:rPr>
        <w:t>’</w:t>
      </w:r>
      <w:r w:rsidR="002D5285" w:rsidRPr="007F3E67">
        <w:rPr>
          <w:lang w:val="fr-FR"/>
        </w:rPr>
        <w:t>ils ont même obtenu des promotions par la suite.</w:t>
      </w:r>
    </w:p>
    <w:p w:rsidR="00962FEF" w:rsidRPr="007F3E67" w:rsidRDefault="00962FEF" w:rsidP="007F3E67">
      <w:pPr>
        <w:pStyle w:val="ECHRPara"/>
        <w:rPr>
          <w:lang w:val="fr-FR"/>
        </w:rPr>
      </w:pPr>
      <w:r w:rsidRPr="007F3E67">
        <w:rPr>
          <w:lang w:val="fr-FR"/>
        </w:rPr>
        <w:fldChar w:fldCharType="begin"/>
      </w:r>
      <w:r w:rsidRPr="007F3E67">
        <w:rPr>
          <w:lang w:val="fr-FR"/>
        </w:rPr>
        <w:instrText xml:space="preserve"> SEQ level0 \*arabic </w:instrText>
      </w:r>
      <w:r w:rsidRPr="007F3E67">
        <w:rPr>
          <w:lang w:val="fr-FR"/>
        </w:rPr>
        <w:fldChar w:fldCharType="separate"/>
      </w:r>
      <w:r w:rsidR="007F3E67" w:rsidRPr="007F3E67">
        <w:rPr>
          <w:noProof/>
          <w:lang w:val="fr-FR"/>
        </w:rPr>
        <w:t>140</w:t>
      </w:r>
      <w:r w:rsidRPr="007F3E67">
        <w:rPr>
          <w:lang w:val="fr-FR"/>
        </w:rPr>
        <w:fldChar w:fldCharType="end"/>
      </w:r>
      <w:r w:rsidRPr="007F3E67">
        <w:rPr>
          <w:lang w:val="fr-FR"/>
        </w:rPr>
        <w:t>.  </w:t>
      </w:r>
      <w:r w:rsidR="00771066" w:rsidRPr="007F3E67">
        <w:rPr>
          <w:lang w:val="fr-FR"/>
        </w:rPr>
        <w:t>Ils</w:t>
      </w:r>
      <w:r w:rsidR="008A3699" w:rsidRPr="007F3E67">
        <w:rPr>
          <w:lang w:val="fr-FR"/>
        </w:rPr>
        <w:t xml:space="preserve"> </w:t>
      </w:r>
      <w:r w:rsidR="004E1C0F" w:rsidRPr="007F3E67">
        <w:rPr>
          <w:lang w:val="fr-FR"/>
        </w:rPr>
        <w:t>critiquent dès lors l</w:t>
      </w:r>
      <w:r w:rsidR="007F3E67" w:rsidRPr="007F3E67">
        <w:rPr>
          <w:lang w:val="fr-FR"/>
        </w:rPr>
        <w:t>’</w:t>
      </w:r>
      <w:r w:rsidR="004E1C0F" w:rsidRPr="007F3E67">
        <w:rPr>
          <w:lang w:val="fr-FR"/>
        </w:rPr>
        <w:t>absence</w:t>
      </w:r>
      <w:r w:rsidR="004B2C3A" w:rsidRPr="007F3E67">
        <w:rPr>
          <w:lang w:val="fr-FR"/>
        </w:rPr>
        <w:t xml:space="preserve"> dans l</w:t>
      </w:r>
      <w:r w:rsidR="007F3E67" w:rsidRPr="007F3E67">
        <w:rPr>
          <w:lang w:val="fr-FR"/>
        </w:rPr>
        <w:t>’</w:t>
      </w:r>
      <w:r w:rsidR="004B2C3A" w:rsidRPr="007F3E67">
        <w:rPr>
          <w:lang w:val="fr-FR"/>
        </w:rPr>
        <w:t>ordre juridique interne</w:t>
      </w:r>
      <w:r w:rsidR="004E1C0F" w:rsidRPr="007F3E67">
        <w:rPr>
          <w:lang w:val="fr-FR"/>
        </w:rPr>
        <w:t xml:space="preserve"> d</w:t>
      </w:r>
      <w:r w:rsidR="007F3E67" w:rsidRPr="007F3E67">
        <w:rPr>
          <w:lang w:val="fr-FR"/>
        </w:rPr>
        <w:t>’</w:t>
      </w:r>
      <w:r w:rsidR="004E1C0F" w:rsidRPr="007F3E67">
        <w:rPr>
          <w:lang w:val="fr-FR"/>
        </w:rPr>
        <w:t>u</w:t>
      </w:r>
      <w:r w:rsidR="00AC01AA" w:rsidRPr="007F3E67">
        <w:rPr>
          <w:lang w:val="fr-FR"/>
        </w:rPr>
        <w:t>n</w:t>
      </w:r>
      <w:r w:rsidR="004E1C0F" w:rsidRPr="007F3E67">
        <w:rPr>
          <w:lang w:val="fr-FR"/>
        </w:rPr>
        <w:t xml:space="preserve"> délit punissant la torture et les traitements inhumains ou dégradants, </w:t>
      </w:r>
      <w:r w:rsidR="00726A41" w:rsidRPr="007F3E67">
        <w:rPr>
          <w:lang w:val="fr-FR"/>
        </w:rPr>
        <w:t>disposition</w:t>
      </w:r>
      <w:r w:rsidR="004E1C0F" w:rsidRPr="007F3E67">
        <w:rPr>
          <w:lang w:val="fr-FR"/>
        </w:rPr>
        <w:t xml:space="preserve"> législative qui aurait permis </w:t>
      </w:r>
      <w:r w:rsidR="002D5285" w:rsidRPr="007F3E67">
        <w:rPr>
          <w:lang w:val="fr-FR"/>
        </w:rPr>
        <w:t xml:space="preserve">selon eux </w:t>
      </w:r>
      <w:r w:rsidR="004E1C0F" w:rsidRPr="007F3E67">
        <w:rPr>
          <w:lang w:val="fr-FR"/>
        </w:rPr>
        <w:t xml:space="preserve">de poursuivre </w:t>
      </w:r>
      <w:r w:rsidR="004B2C3A" w:rsidRPr="007F3E67">
        <w:rPr>
          <w:lang w:val="fr-FR"/>
        </w:rPr>
        <w:t xml:space="preserve">non seulement </w:t>
      </w:r>
      <w:r w:rsidR="004E1C0F" w:rsidRPr="007F3E67">
        <w:rPr>
          <w:lang w:val="fr-FR"/>
        </w:rPr>
        <w:t xml:space="preserve">les auteurs matériels mais </w:t>
      </w:r>
      <w:r w:rsidR="004B2C3A" w:rsidRPr="007F3E67">
        <w:rPr>
          <w:lang w:val="fr-FR"/>
        </w:rPr>
        <w:t>aussi</w:t>
      </w:r>
      <w:r w:rsidR="004E1C0F" w:rsidRPr="007F3E67">
        <w:rPr>
          <w:lang w:val="fr-FR"/>
        </w:rPr>
        <w:t xml:space="preserve"> les coresponsables</w:t>
      </w:r>
      <w:r w:rsidR="00A13CCB" w:rsidRPr="007F3E67">
        <w:rPr>
          <w:lang w:val="fr-FR"/>
        </w:rPr>
        <w:t xml:space="preserve"> des actes en question</w:t>
      </w:r>
      <w:r w:rsidR="004E1C0F" w:rsidRPr="007F3E67">
        <w:rPr>
          <w:lang w:val="fr-FR"/>
        </w:rPr>
        <w:t>,</w:t>
      </w:r>
      <w:r w:rsidR="00A13CCB" w:rsidRPr="007F3E67">
        <w:rPr>
          <w:lang w:val="fr-FR"/>
        </w:rPr>
        <w:t xml:space="preserve"> </w:t>
      </w:r>
      <w:r w:rsidR="004E1C0F" w:rsidRPr="007F3E67">
        <w:rPr>
          <w:lang w:val="fr-FR"/>
        </w:rPr>
        <w:t xml:space="preserve">notamment les supérieurs hiérarchiques. En effet, </w:t>
      </w:r>
      <w:r w:rsidR="00726A41" w:rsidRPr="007F3E67">
        <w:rPr>
          <w:lang w:val="fr-FR"/>
        </w:rPr>
        <w:t>ils</w:t>
      </w:r>
      <w:r w:rsidR="004E1C0F" w:rsidRPr="007F3E67">
        <w:rPr>
          <w:lang w:val="fr-FR"/>
        </w:rPr>
        <w:t xml:space="preserve"> </w:t>
      </w:r>
      <w:r w:rsidR="00726A41" w:rsidRPr="007F3E67">
        <w:rPr>
          <w:lang w:val="fr-FR"/>
        </w:rPr>
        <w:t>arguent</w:t>
      </w:r>
      <w:r w:rsidR="004E1C0F" w:rsidRPr="007F3E67">
        <w:rPr>
          <w:lang w:val="fr-FR"/>
        </w:rPr>
        <w:t xml:space="preserve"> que la qualification juridique des faits retenue par les juges internes prévoyait un élément psychologique spécifique que l</w:t>
      </w:r>
      <w:r w:rsidR="007F3E67" w:rsidRPr="007F3E67">
        <w:rPr>
          <w:lang w:val="fr-FR"/>
        </w:rPr>
        <w:t>’</w:t>
      </w:r>
      <w:r w:rsidR="00503069" w:rsidRPr="007F3E67">
        <w:rPr>
          <w:lang w:val="fr-FR"/>
        </w:rPr>
        <w:t>interdiction de la</w:t>
      </w:r>
      <w:r w:rsidR="004E1C0F" w:rsidRPr="007F3E67">
        <w:rPr>
          <w:lang w:val="fr-FR"/>
        </w:rPr>
        <w:t xml:space="preserve"> torture ne prévoirait pas</w:t>
      </w:r>
      <w:r w:rsidR="00AF3BFD" w:rsidRPr="007F3E67">
        <w:rPr>
          <w:lang w:val="fr-FR"/>
        </w:rPr>
        <w:t xml:space="preserve">, </w:t>
      </w:r>
      <w:r w:rsidR="00EB299B" w:rsidRPr="007F3E67">
        <w:rPr>
          <w:lang w:val="fr-FR"/>
        </w:rPr>
        <w:t xml:space="preserve">ce qui permettrait </w:t>
      </w:r>
      <w:r w:rsidR="004E1C0F" w:rsidRPr="007F3E67">
        <w:rPr>
          <w:lang w:val="fr-FR"/>
        </w:rPr>
        <w:t xml:space="preserve">de poursuivre les auteurs matériels </w:t>
      </w:r>
      <w:r w:rsidR="004B2C3A" w:rsidRPr="007F3E67">
        <w:rPr>
          <w:lang w:val="fr-FR"/>
        </w:rPr>
        <w:t>et</w:t>
      </w:r>
      <w:r w:rsidR="004E1C0F" w:rsidRPr="007F3E67">
        <w:rPr>
          <w:lang w:val="fr-FR"/>
        </w:rPr>
        <w:t xml:space="preserve"> ceux qui, </w:t>
      </w:r>
      <w:r w:rsidR="00EB299B" w:rsidRPr="007F3E67">
        <w:rPr>
          <w:lang w:val="fr-FR"/>
        </w:rPr>
        <w:t xml:space="preserve">en raison de </w:t>
      </w:r>
      <w:r w:rsidR="004E1C0F" w:rsidRPr="007F3E67">
        <w:rPr>
          <w:lang w:val="fr-FR"/>
        </w:rPr>
        <w:t xml:space="preserve">leur connivence ou </w:t>
      </w:r>
      <w:r w:rsidR="00EB299B" w:rsidRPr="007F3E67">
        <w:rPr>
          <w:lang w:val="fr-FR"/>
        </w:rPr>
        <w:t xml:space="preserve">de leur </w:t>
      </w:r>
      <w:r w:rsidR="004E1C0F" w:rsidRPr="007F3E67">
        <w:rPr>
          <w:lang w:val="fr-FR"/>
        </w:rPr>
        <w:t>consentement</w:t>
      </w:r>
      <w:r w:rsidR="004B2C3A" w:rsidRPr="007F3E67">
        <w:rPr>
          <w:lang w:val="fr-FR"/>
        </w:rPr>
        <w:t>,</w:t>
      </w:r>
      <w:r w:rsidR="004E1C0F" w:rsidRPr="007F3E67">
        <w:rPr>
          <w:lang w:val="fr-FR"/>
        </w:rPr>
        <w:t xml:space="preserve"> </w:t>
      </w:r>
      <w:r w:rsidR="0035257A" w:rsidRPr="007F3E67">
        <w:rPr>
          <w:lang w:val="fr-FR"/>
        </w:rPr>
        <w:t xml:space="preserve">ont participé </w:t>
      </w:r>
      <w:r w:rsidR="004E1C0F" w:rsidRPr="007F3E67">
        <w:rPr>
          <w:lang w:val="fr-FR"/>
        </w:rPr>
        <w:t>à la commission d</w:t>
      </w:r>
      <w:r w:rsidR="007F3E67" w:rsidRPr="007F3E67">
        <w:rPr>
          <w:lang w:val="fr-FR"/>
        </w:rPr>
        <w:t>’</w:t>
      </w:r>
      <w:r w:rsidR="00C00DBA" w:rsidRPr="007F3E67">
        <w:rPr>
          <w:lang w:val="fr-FR"/>
        </w:rPr>
        <w:t xml:space="preserve">actes pouvant </w:t>
      </w:r>
      <w:r w:rsidR="00EB299B" w:rsidRPr="007F3E67">
        <w:rPr>
          <w:lang w:val="fr-FR"/>
        </w:rPr>
        <w:t>être qualifiés</w:t>
      </w:r>
      <w:r w:rsidR="00AF3BFD" w:rsidRPr="007F3E67">
        <w:rPr>
          <w:lang w:val="fr-FR"/>
        </w:rPr>
        <w:t xml:space="preserve"> de torture ou </w:t>
      </w:r>
      <w:r w:rsidR="00F81227" w:rsidRPr="007F3E67">
        <w:rPr>
          <w:lang w:val="fr-FR"/>
        </w:rPr>
        <w:t>de traitement</w:t>
      </w:r>
      <w:r w:rsidR="001971A5" w:rsidRPr="007F3E67">
        <w:rPr>
          <w:lang w:val="fr-FR"/>
        </w:rPr>
        <w:t>s</w:t>
      </w:r>
      <w:r w:rsidR="00F81227" w:rsidRPr="007F3E67">
        <w:rPr>
          <w:lang w:val="fr-FR"/>
        </w:rPr>
        <w:t xml:space="preserve"> inhumain</w:t>
      </w:r>
      <w:r w:rsidR="001971A5" w:rsidRPr="007F3E67">
        <w:rPr>
          <w:lang w:val="fr-FR"/>
        </w:rPr>
        <w:t>s</w:t>
      </w:r>
      <w:r w:rsidR="00AF3BFD" w:rsidRPr="007F3E67">
        <w:rPr>
          <w:lang w:val="fr-FR"/>
        </w:rPr>
        <w:t xml:space="preserve"> ou dégradant</w:t>
      </w:r>
      <w:r w:rsidR="001971A5" w:rsidRPr="007F3E67">
        <w:rPr>
          <w:lang w:val="fr-FR"/>
        </w:rPr>
        <w:t>s</w:t>
      </w:r>
      <w:r w:rsidR="00AF3BFD" w:rsidRPr="007F3E67">
        <w:rPr>
          <w:lang w:val="fr-FR"/>
        </w:rPr>
        <w:t>.</w:t>
      </w:r>
    </w:p>
    <w:p w:rsidR="004E1C0F" w:rsidRPr="007F3E67" w:rsidRDefault="00A56029" w:rsidP="007F3E67">
      <w:pPr>
        <w:pStyle w:val="ECHRPara"/>
        <w:rPr>
          <w:lang w:val="fr-FR"/>
        </w:rPr>
      </w:pPr>
      <w:r w:rsidRPr="007F3E67">
        <w:rPr>
          <w:lang w:val="fr-FR"/>
        </w:rPr>
        <w:fldChar w:fldCharType="begin"/>
      </w:r>
      <w:r w:rsidRPr="007F3E67">
        <w:rPr>
          <w:lang w:val="fr-FR"/>
        </w:rPr>
        <w:instrText xml:space="preserve"> SEQ level0 \*arabic </w:instrText>
      </w:r>
      <w:r w:rsidRPr="007F3E67">
        <w:rPr>
          <w:lang w:val="fr-FR"/>
        </w:rPr>
        <w:fldChar w:fldCharType="separate"/>
      </w:r>
      <w:r w:rsidR="007F3E67" w:rsidRPr="007F3E67">
        <w:rPr>
          <w:noProof/>
          <w:lang w:val="fr-FR"/>
        </w:rPr>
        <w:t>141</w:t>
      </w:r>
      <w:r w:rsidRPr="007F3E67">
        <w:rPr>
          <w:lang w:val="fr-FR"/>
        </w:rPr>
        <w:fldChar w:fldCharType="end"/>
      </w:r>
      <w:r w:rsidRPr="007F3E67">
        <w:rPr>
          <w:lang w:val="fr-FR"/>
        </w:rPr>
        <w:t>.  </w:t>
      </w:r>
      <w:r w:rsidR="00503069" w:rsidRPr="007F3E67">
        <w:rPr>
          <w:lang w:val="fr-FR"/>
        </w:rPr>
        <w:t xml:space="preserve">La nécessité de criminaliser </w:t>
      </w:r>
      <w:r w:rsidR="00770349" w:rsidRPr="007F3E67">
        <w:rPr>
          <w:lang w:val="fr-FR"/>
        </w:rPr>
        <w:t>la</w:t>
      </w:r>
      <w:r w:rsidR="004E1C0F" w:rsidRPr="007F3E67">
        <w:rPr>
          <w:lang w:val="fr-FR"/>
        </w:rPr>
        <w:t xml:space="preserve"> torture et </w:t>
      </w:r>
      <w:r w:rsidR="00503069" w:rsidRPr="007F3E67">
        <w:rPr>
          <w:lang w:val="fr-FR"/>
        </w:rPr>
        <w:t>l</w:t>
      </w:r>
      <w:r w:rsidR="004E1C0F" w:rsidRPr="007F3E67">
        <w:rPr>
          <w:lang w:val="fr-FR"/>
        </w:rPr>
        <w:t>es autres mauvais traitements</w:t>
      </w:r>
      <w:r w:rsidR="004B2C3A" w:rsidRPr="007F3E67">
        <w:rPr>
          <w:lang w:val="fr-FR"/>
        </w:rPr>
        <w:t xml:space="preserve"> s</w:t>
      </w:r>
      <w:r w:rsidR="007F3E67" w:rsidRPr="007F3E67">
        <w:rPr>
          <w:lang w:val="fr-FR"/>
        </w:rPr>
        <w:t>’</w:t>
      </w:r>
      <w:r w:rsidR="004B2C3A" w:rsidRPr="007F3E67">
        <w:rPr>
          <w:lang w:val="fr-FR"/>
        </w:rPr>
        <w:t>explique</w:t>
      </w:r>
      <w:r w:rsidR="00CB5E4D" w:rsidRPr="007F3E67">
        <w:rPr>
          <w:lang w:val="fr-FR"/>
        </w:rPr>
        <w:t>rait</w:t>
      </w:r>
      <w:r w:rsidRPr="007F3E67">
        <w:rPr>
          <w:lang w:val="fr-FR"/>
        </w:rPr>
        <w:t xml:space="preserve"> en outre </w:t>
      </w:r>
      <w:r w:rsidR="004B2C3A" w:rsidRPr="007F3E67">
        <w:rPr>
          <w:lang w:val="fr-FR"/>
        </w:rPr>
        <w:t>par la nécessité d</w:t>
      </w:r>
      <w:r w:rsidR="007F3E67" w:rsidRPr="007F3E67">
        <w:rPr>
          <w:lang w:val="fr-FR"/>
        </w:rPr>
        <w:t>’</w:t>
      </w:r>
      <w:r w:rsidR="004B2C3A" w:rsidRPr="007F3E67">
        <w:rPr>
          <w:lang w:val="fr-FR"/>
        </w:rPr>
        <w:t>éviter l</w:t>
      </w:r>
      <w:r w:rsidR="007F3E67" w:rsidRPr="007F3E67">
        <w:rPr>
          <w:lang w:val="fr-FR"/>
        </w:rPr>
        <w:t>’</w:t>
      </w:r>
      <w:r w:rsidR="004B2C3A" w:rsidRPr="007F3E67">
        <w:rPr>
          <w:lang w:val="fr-FR"/>
        </w:rPr>
        <w:t>application de la prescription ou d</w:t>
      </w:r>
      <w:r w:rsidR="007F3E67" w:rsidRPr="007F3E67">
        <w:rPr>
          <w:lang w:val="fr-FR"/>
        </w:rPr>
        <w:t>’</w:t>
      </w:r>
      <w:r w:rsidR="004B2C3A" w:rsidRPr="007F3E67">
        <w:rPr>
          <w:lang w:val="fr-FR"/>
        </w:rPr>
        <w:t xml:space="preserve">autres mesures de clémence à des actes </w:t>
      </w:r>
      <w:r w:rsidR="00692DEA" w:rsidRPr="007F3E67">
        <w:rPr>
          <w:lang w:val="fr-FR"/>
        </w:rPr>
        <w:t xml:space="preserve">particulièrement sérieux et </w:t>
      </w:r>
      <w:r w:rsidR="00503069" w:rsidRPr="007F3E67">
        <w:rPr>
          <w:lang w:val="fr-FR"/>
        </w:rPr>
        <w:t>suscitant des troubles considérables au niveau social.</w:t>
      </w:r>
    </w:p>
    <w:p w:rsidR="00C20BE0" w:rsidRPr="007F3E67" w:rsidRDefault="00C20BE0" w:rsidP="007F3E67">
      <w:pPr>
        <w:pStyle w:val="ECHRPara"/>
        <w:rPr>
          <w:lang w:val="fr-FR"/>
        </w:rPr>
      </w:pPr>
      <w:r w:rsidRPr="007F3E67">
        <w:rPr>
          <w:lang w:val="fr-FR"/>
        </w:rPr>
        <w:fldChar w:fldCharType="begin"/>
      </w:r>
      <w:r w:rsidRPr="007F3E67">
        <w:rPr>
          <w:lang w:val="fr-FR"/>
        </w:rPr>
        <w:instrText xml:space="preserve"> SEQ level0 \*arabic </w:instrText>
      </w:r>
      <w:r w:rsidRPr="007F3E67">
        <w:rPr>
          <w:lang w:val="fr-FR"/>
        </w:rPr>
        <w:fldChar w:fldCharType="separate"/>
      </w:r>
      <w:r w:rsidR="007F3E67" w:rsidRPr="007F3E67">
        <w:rPr>
          <w:noProof/>
          <w:lang w:val="fr-FR"/>
        </w:rPr>
        <w:t>142</w:t>
      </w:r>
      <w:r w:rsidRPr="007F3E67">
        <w:rPr>
          <w:lang w:val="fr-FR"/>
        </w:rPr>
        <w:fldChar w:fldCharType="end"/>
      </w:r>
      <w:r w:rsidRPr="007F3E67">
        <w:rPr>
          <w:lang w:val="fr-FR"/>
        </w:rPr>
        <w:t>.  Quant à la possibilité d</w:t>
      </w:r>
      <w:r w:rsidR="007F3E67" w:rsidRPr="007F3E67">
        <w:rPr>
          <w:lang w:val="fr-FR"/>
        </w:rPr>
        <w:t>’</w:t>
      </w:r>
      <w:r w:rsidRPr="007F3E67">
        <w:rPr>
          <w:lang w:val="fr-FR"/>
        </w:rPr>
        <w:t xml:space="preserve">obtenir une indemnisation </w:t>
      </w:r>
      <w:r w:rsidR="00BD2C99" w:rsidRPr="007F3E67">
        <w:rPr>
          <w:lang w:val="fr-FR"/>
        </w:rPr>
        <w:t>dans le cadre d</w:t>
      </w:r>
      <w:r w:rsidRPr="007F3E67">
        <w:rPr>
          <w:lang w:val="fr-FR"/>
        </w:rPr>
        <w:t>e la procédure civile en dommages-intérêts, les requérants s</w:t>
      </w:r>
      <w:r w:rsidR="007F3E67" w:rsidRPr="007F3E67">
        <w:rPr>
          <w:lang w:val="fr-FR"/>
        </w:rPr>
        <w:t>’</w:t>
      </w:r>
      <w:r w:rsidRPr="007F3E67">
        <w:rPr>
          <w:lang w:val="fr-FR"/>
        </w:rPr>
        <w:t xml:space="preserve">appuient sur la jurisprudence de </w:t>
      </w:r>
      <w:r w:rsidR="001971A5" w:rsidRPr="007F3E67">
        <w:rPr>
          <w:lang w:val="fr-FR"/>
        </w:rPr>
        <w:t>la</w:t>
      </w:r>
      <w:r w:rsidRPr="007F3E67">
        <w:rPr>
          <w:lang w:val="fr-FR"/>
        </w:rPr>
        <w:t xml:space="preserve"> Cour (</w:t>
      </w:r>
      <w:r w:rsidRPr="007F3E67">
        <w:rPr>
          <w:i/>
          <w:lang w:val="fr-FR"/>
        </w:rPr>
        <w:t>Gäfgen</w:t>
      </w:r>
      <w:r w:rsidRPr="007F3E67">
        <w:rPr>
          <w:lang w:val="fr-FR"/>
        </w:rPr>
        <w:t>, précité, §</w:t>
      </w:r>
      <w:r w:rsidR="00654FB7" w:rsidRPr="007F3E67">
        <w:rPr>
          <w:lang w:val="fr-FR"/>
        </w:rPr>
        <w:t>§</w:t>
      </w:r>
      <w:r w:rsidRPr="007F3E67">
        <w:rPr>
          <w:lang w:val="fr-FR"/>
        </w:rPr>
        <w:t xml:space="preserve"> </w:t>
      </w:r>
      <w:r w:rsidR="00654FB7" w:rsidRPr="007F3E67">
        <w:rPr>
          <w:lang w:val="fr-FR"/>
        </w:rPr>
        <w:t>116-</w:t>
      </w:r>
      <w:r w:rsidRPr="007F3E67">
        <w:rPr>
          <w:lang w:val="fr-FR"/>
        </w:rPr>
        <w:t>119)</w:t>
      </w:r>
      <w:r w:rsidR="00BD2C99" w:rsidRPr="007F3E67">
        <w:rPr>
          <w:lang w:val="fr-FR"/>
        </w:rPr>
        <w:t xml:space="preserve"> pour souligner l</w:t>
      </w:r>
      <w:r w:rsidR="007F3E67" w:rsidRPr="007F3E67">
        <w:rPr>
          <w:lang w:val="fr-FR"/>
        </w:rPr>
        <w:t>’</w:t>
      </w:r>
      <w:r w:rsidR="00BD2C99" w:rsidRPr="007F3E67">
        <w:rPr>
          <w:lang w:val="fr-FR"/>
        </w:rPr>
        <w:t xml:space="preserve">ineffectivité du remède civil </w:t>
      </w:r>
      <w:r w:rsidR="00B3500D" w:rsidRPr="007F3E67">
        <w:rPr>
          <w:lang w:val="fr-FR"/>
        </w:rPr>
        <w:t>eu égard</w:t>
      </w:r>
      <w:r w:rsidR="00BD2C99" w:rsidRPr="007F3E67">
        <w:rPr>
          <w:lang w:val="fr-FR"/>
        </w:rPr>
        <w:t xml:space="preserve"> </w:t>
      </w:r>
      <w:r w:rsidR="00B3500D" w:rsidRPr="007F3E67">
        <w:rPr>
          <w:lang w:val="fr-FR"/>
        </w:rPr>
        <w:t xml:space="preserve">aux </w:t>
      </w:r>
      <w:r w:rsidR="00BD2C99" w:rsidRPr="007F3E67">
        <w:rPr>
          <w:lang w:val="fr-FR"/>
        </w:rPr>
        <w:t xml:space="preserve">actes </w:t>
      </w:r>
      <w:r w:rsidR="00B3500D" w:rsidRPr="007F3E67">
        <w:rPr>
          <w:lang w:val="fr-FR"/>
        </w:rPr>
        <w:t xml:space="preserve">délibérés </w:t>
      </w:r>
      <w:r w:rsidR="00BD2C99" w:rsidRPr="007F3E67">
        <w:rPr>
          <w:lang w:val="fr-FR"/>
        </w:rPr>
        <w:t>de mauvais traitement</w:t>
      </w:r>
      <w:r w:rsidR="001971A5" w:rsidRPr="007F3E67">
        <w:rPr>
          <w:lang w:val="fr-FR"/>
        </w:rPr>
        <w:t>s.</w:t>
      </w:r>
    </w:p>
    <w:p w:rsidR="00455811" w:rsidRPr="007F3E67" w:rsidRDefault="009235D3" w:rsidP="007F3E67">
      <w:pPr>
        <w:pStyle w:val="ECHRHeading6"/>
        <w:rPr>
          <w:lang w:val="fr-FR"/>
        </w:rPr>
      </w:pPr>
      <w:r w:rsidRPr="007F3E67">
        <w:rPr>
          <w:rFonts w:cstheme="majorHAnsi"/>
          <w:lang w:val="fr-FR"/>
        </w:rPr>
        <w:t>β</w:t>
      </w:r>
      <w:r w:rsidRPr="007F3E67">
        <w:rPr>
          <w:lang w:val="fr-FR"/>
        </w:rPr>
        <w:t>)</w:t>
      </w:r>
      <w:r w:rsidR="00455811" w:rsidRPr="007F3E67">
        <w:rPr>
          <w:lang w:val="fr-FR"/>
        </w:rPr>
        <w:t>  Le Gouvernement</w:t>
      </w:r>
    </w:p>
    <w:p w:rsidR="00770349" w:rsidRPr="007F3E67" w:rsidRDefault="00272C9A" w:rsidP="007F3E67">
      <w:pPr>
        <w:pStyle w:val="ECHRPara"/>
        <w:rPr>
          <w:lang w:val="fr-FR"/>
        </w:rPr>
      </w:pPr>
      <w:r w:rsidRPr="007F3E67">
        <w:rPr>
          <w:lang w:val="fr-FR"/>
        </w:rPr>
        <w:fldChar w:fldCharType="begin"/>
      </w:r>
      <w:r w:rsidRPr="007F3E67">
        <w:rPr>
          <w:lang w:val="fr-FR"/>
        </w:rPr>
        <w:instrText xml:space="preserve"> SEQ level0 \*arabic </w:instrText>
      </w:r>
      <w:r w:rsidRPr="007F3E67">
        <w:rPr>
          <w:lang w:val="fr-FR"/>
        </w:rPr>
        <w:fldChar w:fldCharType="separate"/>
      </w:r>
      <w:r w:rsidR="007F3E67" w:rsidRPr="007F3E67">
        <w:rPr>
          <w:noProof/>
          <w:lang w:val="fr-FR"/>
        </w:rPr>
        <w:t>143</w:t>
      </w:r>
      <w:r w:rsidRPr="007F3E67">
        <w:rPr>
          <w:lang w:val="fr-FR"/>
        </w:rPr>
        <w:fldChar w:fldCharType="end"/>
      </w:r>
      <w:r w:rsidRPr="007F3E67">
        <w:rPr>
          <w:lang w:val="fr-FR"/>
        </w:rPr>
        <w:t>.  </w:t>
      </w:r>
      <w:r w:rsidR="006F713F" w:rsidRPr="007F3E67">
        <w:rPr>
          <w:lang w:val="fr-FR"/>
        </w:rPr>
        <w:t xml:space="preserve">Le Gouvernement </w:t>
      </w:r>
      <w:r w:rsidR="00144432" w:rsidRPr="007F3E67">
        <w:rPr>
          <w:lang w:val="fr-FR"/>
        </w:rPr>
        <w:t>conteste la thèse des requérants et maintient que l</w:t>
      </w:r>
      <w:r w:rsidR="007F3E67" w:rsidRPr="007F3E67">
        <w:rPr>
          <w:lang w:val="fr-FR"/>
        </w:rPr>
        <w:t>’</w:t>
      </w:r>
      <w:r w:rsidR="00144432" w:rsidRPr="007F3E67">
        <w:rPr>
          <w:lang w:val="fr-FR"/>
        </w:rPr>
        <w:t xml:space="preserve">État a bien rempli </w:t>
      </w:r>
      <w:r w:rsidR="006536A3" w:rsidRPr="007F3E67">
        <w:rPr>
          <w:lang w:val="fr-FR"/>
        </w:rPr>
        <w:t xml:space="preserve">son </w:t>
      </w:r>
      <w:r w:rsidR="00144432" w:rsidRPr="007F3E67">
        <w:rPr>
          <w:lang w:val="fr-FR"/>
        </w:rPr>
        <w:t>obligation positive de</w:t>
      </w:r>
      <w:r w:rsidR="004A1210" w:rsidRPr="007F3E67">
        <w:rPr>
          <w:lang w:val="fr-FR"/>
        </w:rPr>
        <w:t xml:space="preserve"> mener une enquête indépendante et</w:t>
      </w:r>
      <w:r w:rsidR="00144432" w:rsidRPr="007F3E67">
        <w:rPr>
          <w:lang w:val="fr-FR"/>
        </w:rPr>
        <w:t xml:space="preserve"> impartiale. </w:t>
      </w:r>
      <w:r w:rsidR="00770349" w:rsidRPr="007F3E67">
        <w:rPr>
          <w:lang w:val="fr-FR"/>
        </w:rPr>
        <w:t>Il soutient que les autorités ont adopté toutes les mesures permettant l</w:t>
      </w:r>
      <w:r w:rsidR="007F3E67" w:rsidRPr="007F3E67">
        <w:rPr>
          <w:lang w:val="fr-FR"/>
        </w:rPr>
        <w:t>’</w:t>
      </w:r>
      <w:r w:rsidR="00770349" w:rsidRPr="007F3E67">
        <w:rPr>
          <w:lang w:val="fr-FR"/>
        </w:rPr>
        <w:t>identification et la condamnation des responsables des mauvais traitements litigieux à une peine adéquate, comme l</w:t>
      </w:r>
      <w:r w:rsidR="007F3E67" w:rsidRPr="007F3E67">
        <w:rPr>
          <w:lang w:val="fr-FR"/>
        </w:rPr>
        <w:t>’</w:t>
      </w:r>
      <w:r w:rsidR="00770349" w:rsidRPr="007F3E67">
        <w:rPr>
          <w:lang w:val="fr-FR"/>
        </w:rPr>
        <w:t>exige la jurisprudence de la Cour.</w:t>
      </w:r>
    </w:p>
    <w:p w:rsidR="00A25D3E" w:rsidRPr="007F3E67" w:rsidRDefault="000556DF" w:rsidP="007F3E67">
      <w:pPr>
        <w:pStyle w:val="ECHRPara"/>
        <w:rPr>
          <w:lang w:val="fr-FR"/>
        </w:rPr>
      </w:pPr>
      <w:r w:rsidRPr="007F3E67">
        <w:rPr>
          <w:lang w:val="fr-FR"/>
        </w:rPr>
        <w:fldChar w:fldCharType="begin"/>
      </w:r>
      <w:r w:rsidRPr="007F3E67">
        <w:rPr>
          <w:lang w:val="fr-FR"/>
        </w:rPr>
        <w:instrText xml:space="preserve"> SEQ level0 \*arabic </w:instrText>
      </w:r>
      <w:r w:rsidRPr="007F3E67">
        <w:rPr>
          <w:lang w:val="fr-FR"/>
        </w:rPr>
        <w:fldChar w:fldCharType="separate"/>
      </w:r>
      <w:r w:rsidR="007F3E67" w:rsidRPr="007F3E67">
        <w:rPr>
          <w:noProof/>
          <w:lang w:val="fr-FR"/>
        </w:rPr>
        <w:t>144</w:t>
      </w:r>
      <w:r w:rsidRPr="007F3E67">
        <w:rPr>
          <w:lang w:val="fr-FR"/>
        </w:rPr>
        <w:fldChar w:fldCharType="end"/>
      </w:r>
      <w:r w:rsidRPr="007F3E67">
        <w:rPr>
          <w:lang w:val="fr-FR"/>
        </w:rPr>
        <w:t>.  </w:t>
      </w:r>
      <w:r w:rsidR="006536A3" w:rsidRPr="007F3E67">
        <w:rPr>
          <w:lang w:val="fr-FR"/>
        </w:rPr>
        <w:t>Il estime en particulier que,</w:t>
      </w:r>
      <w:r w:rsidRPr="007F3E67">
        <w:rPr>
          <w:lang w:val="fr-FR"/>
        </w:rPr>
        <w:t xml:space="preserve"> à l</w:t>
      </w:r>
      <w:r w:rsidR="007F3E67" w:rsidRPr="007F3E67">
        <w:rPr>
          <w:lang w:val="fr-FR"/>
        </w:rPr>
        <w:t>’</w:t>
      </w:r>
      <w:r w:rsidRPr="007F3E67">
        <w:rPr>
          <w:lang w:val="fr-FR"/>
        </w:rPr>
        <w:t>issue d</w:t>
      </w:r>
      <w:r w:rsidR="007F3E67" w:rsidRPr="007F3E67">
        <w:rPr>
          <w:lang w:val="fr-FR"/>
        </w:rPr>
        <w:t>’</w:t>
      </w:r>
      <w:r w:rsidRPr="007F3E67">
        <w:rPr>
          <w:lang w:val="fr-FR"/>
        </w:rPr>
        <w:t>u</w:t>
      </w:r>
      <w:r w:rsidR="00C67E02" w:rsidRPr="007F3E67">
        <w:rPr>
          <w:lang w:val="fr-FR"/>
        </w:rPr>
        <w:t>ne procédure pénale complexe et approfondi</w:t>
      </w:r>
      <w:r w:rsidR="001971A5" w:rsidRPr="007F3E67">
        <w:rPr>
          <w:lang w:val="fr-FR"/>
        </w:rPr>
        <w:t>e</w:t>
      </w:r>
      <w:r w:rsidR="00C67E02" w:rsidRPr="007F3E67">
        <w:rPr>
          <w:lang w:val="fr-FR"/>
        </w:rPr>
        <w:t xml:space="preserve"> qui a permis l</w:t>
      </w:r>
      <w:r w:rsidR="007F3E67" w:rsidRPr="007F3E67">
        <w:rPr>
          <w:lang w:val="fr-FR"/>
        </w:rPr>
        <w:t>’</w:t>
      </w:r>
      <w:r w:rsidR="00C67E02" w:rsidRPr="007F3E67">
        <w:rPr>
          <w:lang w:val="fr-FR"/>
        </w:rPr>
        <w:t>établissement des faits dénoncés,</w:t>
      </w:r>
      <w:r w:rsidRPr="007F3E67">
        <w:rPr>
          <w:lang w:val="fr-FR"/>
        </w:rPr>
        <w:t xml:space="preserve"> les quarante-cinq policiers poursuivis ont été condamnés, même si</w:t>
      </w:r>
      <w:r w:rsidR="00603E3B" w:rsidRPr="007F3E67">
        <w:rPr>
          <w:lang w:val="fr-FR"/>
        </w:rPr>
        <w:t>,</w:t>
      </w:r>
      <w:r w:rsidRPr="007F3E67">
        <w:rPr>
          <w:lang w:val="fr-FR"/>
        </w:rPr>
        <w:t xml:space="preserve"> pour la plupart </w:t>
      </w:r>
      <w:r w:rsidR="00603E3B" w:rsidRPr="007F3E67">
        <w:rPr>
          <w:lang w:val="fr-FR"/>
        </w:rPr>
        <w:t>d</w:t>
      </w:r>
      <w:r w:rsidR="007F3E67" w:rsidRPr="007F3E67">
        <w:rPr>
          <w:lang w:val="fr-FR"/>
        </w:rPr>
        <w:t>’</w:t>
      </w:r>
      <w:r w:rsidR="00603E3B" w:rsidRPr="007F3E67">
        <w:rPr>
          <w:lang w:val="fr-FR"/>
        </w:rPr>
        <w:t xml:space="preserve">entre eux, </w:t>
      </w:r>
      <w:r w:rsidRPr="007F3E67">
        <w:rPr>
          <w:lang w:val="fr-FR"/>
        </w:rPr>
        <w:t>la cour d</w:t>
      </w:r>
      <w:r w:rsidR="007F3E67" w:rsidRPr="007F3E67">
        <w:rPr>
          <w:lang w:val="fr-FR"/>
        </w:rPr>
        <w:t>’</w:t>
      </w:r>
      <w:r w:rsidRPr="007F3E67">
        <w:rPr>
          <w:lang w:val="fr-FR"/>
        </w:rPr>
        <w:t>appel a reconnu l</w:t>
      </w:r>
      <w:r w:rsidR="007F3E67" w:rsidRPr="007F3E67">
        <w:rPr>
          <w:lang w:val="fr-FR"/>
        </w:rPr>
        <w:t>’</w:t>
      </w:r>
      <w:r w:rsidRPr="007F3E67">
        <w:rPr>
          <w:lang w:val="fr-FR"/>
        </w:rPr>
        <w:t>application de la prescription.</w:t>
      </w:r>
      <w:r w:rsidR="00C67E02" w:rsidRPr="007F3E67">
        <w:rPr>
          <w:lang w:val="fr-FR"/>
        </w:rPr>
        <w:t xml:space="preserve"> En ce qui concerne l</w:t>
      </w:r>
      <w:r w:rsidR="007F3E67" w:rsidRPr="007F3E67">
        <w:rPr>
          <w:lang w:val="fr-FR"/>
        </w:rPr>
        <w:t>’</w:t>
      </w:r>
      <w:r w:rsidR="00AC01AA" w:rsidRPr="007F3E67">
        <w:rPr>
          <w:lang w:val="fr-FR"/>
        </w:rPr>
        <w:t>action civile</w:t>
      </w:r>
      <w:r w:rsidR="00C67E02" w:rsidRPr="007F3E67">
        <w:rPr>
          <w:lang w:val="fr-FR"/>
        </w:rPr>
        <w:t xml:space="preserve">, </w:t>
      </w:r>
      <w:r w:rsidR="00603E3B" w:rsidRPr="007F3E67">
        <w:rPr>
          <w:lang w:val="fr-FR"/>
        </w:rPr>
        <w:t>il indique</w:t>
      </w:r>
      <w:r w:rsidR="00C67E02" w:rsidRPr="007F3E67">
        <w:rPr>
          <w:lang w:val="fr-FR"/>
        </w:rPr>
        <w:t xml:space="preserve"> que tous les requérants se sont vu </w:t>
      </w:r>
      <w:r w:rsidR="00603E3B" w:rsidRPr="007F3E67">
        <w:rPr>
          <w:lang w:val="fr-FR"/>
        </w:rPr>
        <w:t xml:space="preserve">accorder </w:t>
      </w:r>
      <w:r w:rsidR="00A25D3E" w:rsidRPr="007F3E67">
        <w:rPr>
          <w:lang w:val="fr-FR"/>
        </w:rPr>
        <w:t>une somme à titre de provision sur les dommages-intérêts.</w:t>
      </w:r>
    </w:p>
    <w:p w:rsidR="00C67E02" w:rsidRPr="007F3E67" w:rsidRDefault="000556DF" w:rsidP="007F3E67">
      <w:pPr>
        <w:pStyle w:val="ECHRPara"/>
        <w:rPr>
          <w:lang w:val="fr-FR"/>
        </w:rPr>
      </w:pPr>
      <w:r w:rsidRPr="007F3E67">
        <w:rPr>
          <w:lang w:val="fr-FR"/>
        </w:rPr>
        <w:fldChar w:fldCharType="begin"/>
      </w:r>
      <w:r w:rsidRPr="007F3E67">
        <w:rPr>
          <w:lang w:val="fr-FR"/>
        </w:rPr>
        <w:instrText xml:space="preserve"> SEQ level0 \*arabic </w:instrText>
      </w:r>
      <w:r w:rsidRPr="007F3E67">
        <w:rPr>
          <w:lang w:val="fr-FR"/>
        </w:rPr>
        <w:fldChar w:fldCharType="separate"/>
      </w:r>
      <w:r w:rsidR="007F3E67" w:rsidRPr="007F3E67">
        <w:rPr>
          <w:noProof/>
          <w:lang w:val="fr-FR"/>
        </w:rPr>
        <w:t>145</w:t>
      </w:r>
      <w:r w:rsidRPr="007F3E67">
        <w:rPr>
          <w:lang w:val="fr-FR"/>
        </w:rPr>
        <w:fldChar w:fldCharType="end"/>
      </w:r>
      <w:r w:rsidRPr="007F3E67">
        <w:rPr>
          <w:lang w:val="fr-FR"/>
        </w:rPr>
        <w:t>.  </w:t>
      </w:r>
      <w:r w:rsidR="00A25D3E" w:rsidRPr="007F3E67">
        <w:rPr>
          <w:lang w:val="fr-FR"/>
        </w:rPr>
        <w:t>Se penchant ensuite sur l</w:t>
      </w:r>
      <w:r w:rsidR="007F3E67" w:rsidRPr="007F3E67">
        <w:rPr>
          <w:lang w:val="fr-FR"/>
        </w:rPr>
        <w:t>’</w:t>
      </w:r>
      <w:r w:rsidR="00A25D3E" w:rsidRPr="007F3E67">
        <w:rPr>
          <w:lang w:val="fr-FR"/>
        </w:rPr>
        <w:t>allégation relative à l</w:t>
      </w:r>
      <w:r w:rsidR="007F3E67" w:rsidRPr="007F3E67">
        <w:rPr>
          <w:lang w:val="fr-FR"/>
        </w:rPr>
        <w:t>’</w:t>
      </w:r>
      <w:r w:rsidR="00A25D3E" w:rsidRPr="007F3E67">
        <w:rPr>
          <w:lang w:val="fr-FR"/>
        </w:rPr>
        <w:t>absence du délit de « torture » dans l</w:t>
      </w:r>
      <w:r w:rsidR="007F3E67" w:rsidRPr="007F3E67">
        <w:rPr>
          <w:lang w:val="fr-FR"/>
        </w:rPr>
        <w:t>’</w:t>
      </w:r>
      <w:r w:rsidR="00A25D3E" w:rsidRPr="007F3E67">
        <w:rPr>
          <w:lang w:val="fr-FR"/>
        </w:rPr>
        <w:t>ordre juridique italien, le Gouvernement expose que les juges internes ont pu sanctionner de manière adéquate les délits contre la personne en utilisant l</w:t>
      </w:r>
      <w:r w:rsidR="007F3E67" w:rsidRPr="007F3E67">
        <w:rPr>
          <w:lang w:val="fr-FR"/>
        </w:rPr>
        <w:t>’</w:t>
      </w:r>
      <w:r w:rsidR="00A25D3E" w:rsidRPr="007F3E67">
        <w:rPr>
          <w:lang w:val="fr-FR"/>
        </w:rPr>
        <w:t>arsenal juridique existant. À ce titre, il maintient que la Convention contre la torture et autres peines ou traitements cruels, inhumains ou dégradants du 10 décembre 1984 ne prévoit pas une définition univoque de la notion de « torture », ce qui impliquerait que le code pénal italien permet de sanctionner de manière appropriée les différentes formes de mauvais traitements.</w:t>
      </w:r>
    </w:p>
    <w:p w:rsidR="000556DF" w:rsidRPr="007F3E67" w:rsidRDefault="00696711" w:rsidP="007F3E67">
      <w:pPr>
        <w:pStyle w:val="ECHRPara"/>
        <w:rPr>
          <w:lang w:val="fr-FR"/>
        </w:rPr>
      </w:pPr>
      <w:r w:rsidRPr="007F3E67">
        <w:rPr>
          <w:lang w:val="fr-FR"/>
        </w:rPr>
        <w:fldChar w:fldCharType="begin"/>
      </w:r>
      <w:r w:rsidRPr="007F3E67">
        <w:rPr>
          <w:lang w:val="fr-FR"/>
        </w:rPr>
        <w:instrText xml:space="preserve"> SEQ level0 \*arabic </w:instrText>
      </w:r>
      <w:r w:rsidRPr="007F3E67">
        <w:rPr>
          <w:lang w:val="fr-FR"/>
        </w:rPr>
        <w:fldChar w:fldCharType="separate"/>
      </w:r>
      <w:r w:rsidR="007F3E67" w:rsidRPr="007F3E67">
        <w:rPr>
          <w:noProof/>
          <w:lang w:val="fr-FR"/>
        </w:rPr>
        <w:t>146</w:t>
      </w:r>
      <w:r w:rsidRPr="007F3E67">
        <w:rPr>
          <w:lang w:val="fr-FR"/>
        </w:rPr>
        <w:fldChar w:fldCharType="end"/>
      </w:r>
      <w:r w:rsidRPr="007F3E67">
        <w:rPr>
          <w:lang w:val="fr-FR"/>
        </w:rPr>
        <w:t>.  </w:t>
      </w:r>
      <w:r w:rsidR="00C67E02" w:rsidRPr="007F3E67">
        <w:rPr>
          <w:lang w:val="fr-FR"/>
        </w:rPr>
        <w:t>En</w:t>
      </w:r>
      <w:r w:rsidRPr="007F3E67">
        <w:rPr>
          <w:lang w:val="fr-FR"/>
        </w:rPr>
        <w:t xml:space="preserve">fin, </w:t>
      </w:r>
      <w:r w:rsidR="00C67E02" w:rsidRPr="007F3E67">
        <w:rPr>
          <w:lang w:val="fr-FR"/>
        </w:rPr>
        <w:t>le Gouvernement informe la Cour qu</w:t>
      </w:r>
      <w:r w:rsidR="007F3E67" w:rsidRPr="007F3E67">
        <w:rPr>
          <w:lang w:val="fr-FR"/>
        </w:rPr>
        <w:t>’</w:t>
      </w:r>
      <w:r w:rsidRPr="007F3E67">
        <w:rPr>
          <w:lang w:val="fr-FR"/>
        </w:rPr>
        <w:t>une proposition de loi visant à introduire dans le code pénal italien</w:t>
      </w:r>
      <w:r w:rsidR="004A7ACF" w:rsidRPr="007F3E67">
        <w:rPr>
          <w:lang w:val="fr-FR"/>
        </w:rPr>
        <w:t xml:space="preserve"> </w:t>
      </w:r>
      <w:r w:rsidRPr="007F3E67">
        <w:rPr>
          <w:lang w:val="fr-FR"/>
        </w:rPr>
        <w:t>le</w:t>
      </w:r>
      <w:r w:rsidR="00C67E02" w:rsidRPr="007F3E67">
        <w:rPr>
          <w:lang w:val="fr-FR"/>
        </w:rPr>
        <w:t xml:space="preserve"> délit de torture</w:t>
      </w:r>
      <w:r w:rsidRPr="007F3E67">
        <w:rPr>
          <w:lang w:val="fr-FR"/>
        </w:rPr>
        <w:t xml:space="preserve"> est actuellement en cours d</w:t>
      </w:r>
      <w:r w:rsidR="007F3E67" w:rsidRPr="007F3E67">
        <w:rPr>
          <w:lang w:val="fr-FR"/>
        </w:rPr>
        <w:t>’</w:t>
      </w:r>
      <w:r w:rsidRPr="007F3E67">
        <w:rPr>
          <w:lang w:val="fr-FR"/>
        </w:rPr>
        <w:t>examen devant</w:t>
      </w:r>
      <w:r w:rsidR="00AC01AA" w:rsidRPr="007F3E67">
        <w:rPr>
          <w:lang w:val="fr-FR"/>
        </w:rPr>
        <w:t xml:space="preserve"> le</w:t>
      </w:r>
      <w:r w:rsidR="00C67E02" w:rsidRPr="007F3E67">
        <w:rPr>
          <w:lang w:val="fr-FR"/>
        </w:rPr>
        <w:t xml:space="preserve"> Parlement</w:t>
      </w:r>
      <w:r w:rsidRPr="007F3E67">
        <w:rPr>
          <w:lang w:val="fr-FR"/>
        </w:rPr>
        <w:t xml:space="preserve"> (paragraphe </w:t>
      </w:r>
      <w:r w:rsidR="004915DF" w:rsidRPr="007F3E67">
        <w:rPr>
          <w:lang w:val="fr-FR"/>
        </w:rPr>
        <w:fldChar w:fldCharType="begin"/>
      </w:r>
      <w:r w:rsidR="004915DF" w:rsidRPr="007F3E67">
        <w:rPr>
          <w:lang w:val="fr-FR"/>
        </w:rPr>
        <w:instrText xml:space="preserve"> REF Proposition_Loi \h </w:instrText>
      </w:r>
      <w:r w:rsidR="007E235C" w:rsidRPr="007F3E67">
        <w:rPr>
          <w:lang w:val="fr-FR"/>
        </w:rPr>
        <w:instrText xml:space="preserve"> \* MERGEFORMAT </w:instrText>
      </w:r>
      <w:r w:rsidR="004915DF" w:rsidRPr="007F3E67">
        <w:rPr>
          <w:lang w:val="fr-FR"/>
        </w:rPr>
      </w:r>
      <w:r w:rsidR="004915DF" w:rsidRPr="007F3E67">
        <w:rPr>
          <w:lang w:val="fr-FR"/>
        </w:rPr>
        <w:fldChar w:fldCharType="separate"/>
      </w:r>
      <w:r w:rsidR="007F3E67" w:rsidRPr="007F3E67">
        <w:rPr>
          <w:noProof/>
          <w:lang w:val="fr-FR"/>
        </w:rPr>
        <w:t>82</w:t>
      </w:r>
      <w:r w:rsidR="004915DF" w:rsidRPr="007F3E67">
        <w:rPr>
          <w:lang w:val="fr-FR"/>
        </w:rPr>
        <w:fldChar w:fldCharType="end"/>
      </w:r>
      <w:r w:rsidR="00C67E02" w:rsidRPr="007F3E67">
        <w:rPr>
          <w:lang w:val="fr-FR"/>
        </w:rPr>
        <w:t xml:space="preserve"> ci</w:t>
      </w:r>
      <w:r w:rsidR="009206B2" w:rsidRPr="007F3E67">
        <w:rPr>
          <w:lang w:val="fr-FR"/>
        </w:rPr>
        <w:noBreakHyphen/>
      </w:r>
      <w:r w:rsidR="00C67E02" w:rsidRPr="007F3E67">
        <w:rPr>
          <w:lang w:val="fr-FR"/>
        </w:rPr>
        <w:t>dessus).</w:t>
      </w:r>
      <w:r w:rsidR="001251E0" w:rsidRPr="007F3E67">
        <w:rPr>
          <w:lang w:val="fr-FR"/>
        </w:rPr>
        <w:t xml:space="preserve"> </w:t>
      </w:r>
      <w:r w:rsidR="00C67E02" w:rsidRPr="007F3E67">
        <w:rPr>
          <w:lang w:val="fr-FR"/>
        </w:rPr>
        <w:t xml:space="preserve">Il précise que des peines </w:t>
      </w:r>
      <w:r w:rsidR="006E74BE" w:rsidRPr="007F3E67">
        <w:rPr>
          <w:lang w:val="fr-FR"/>
        </w:rPr>
        <w:t>pouvant aller</w:t>
      </w:r>
      <w:r w:rsidR="00C67E02" w:rsidRPr="007F3E67">
        <w:rPr>
          <w:lang w:val="fr-FR"/>
        </w:rPr>
        <w:t xml:space="preserve"> jusqu</w:t>
      </w:r>
      <w:r w:rsidR="007F3E67" w:rsidRPr="007F3E67">
        <w:rPr>
          <w:lang w:val="fr-FR"/>
        </w:rPr>
        <w:t>’</w:t>
      </w:r>
      <w:r w:rsidR="00C67E02" w:rsidRPr="007F3E67">
        <w:rPr>
          <w:lang w:val="fr-FR"/>
        </w:rPr>
        <w:t xml:space="preserve">à douze ans de prison sont envisagées en cas de mauvais traitements </w:t>
      </w:r>
      <w:r w:rsidR="00FF4DD3" w:rsidRPr="007F3E67">
        <w:rPr>
          <w:lang w:val="fr-FR"/>
        </w:rPr>
        <w:t>infligés</w:t>
      </w:r>
      <w:r w:rsidR="00C67E02" w:rsidRPr="007F3E67">
        <w:rPr>
          <w:lang w:val="fr-FR"/>
        </w:rPr>
        <w:t xml:space="preserve"> par des fonctionnaires ou des officiers publics et que la peine </w:t>
      </w:r>
      <w:r w:rsidR="00603E3B" w:rsidRPr="007F3E67">
        <w:rPr>
          <w:lang w:val="fr-FR"/>
        </w:rPr>
        <w:t>d</w:t>
      </w:r>
      <w:r w:rsidR="007F3E67" w:rsidRPr="007F3E67">
        <w:rPr>
          <w:lang w:val="fr-FR"/>
        </w:rPr>
        <w:t>’</w:t>
      </w:r>
      <w:r w:rsidR="00603E3B" w:rsidRPr="007F3E67">
        <w:rPr>
          <w:lang w:val="fr-FR"/>
        </w:rPr>
        <w:t xml:space="preserve">emprisonnement </w:t>
      </w:r>
      <w:r w:rsidR="00C67E02" w:rsidRPr="007F3E67">
        <w:rPr>
          <w:lang w:val="fr-FR"/>
        </w:rPr>
        <w:t>à perpétuité p</w:t>
      </w:r>
      <w:r w:rsidR="006E74BE" w:rsidRPr="007F3E67">
        <w:rPr>
          <w:lang w:val="fr-FR"/>
        </w:rPr>
        <w:t>ourra</w:t>
      </w:r>
      <w:r w:rsidR="00C67E02" w:rsidRPr="007F3E67">
        <w:rPr>
          <w:lang w:val="fr-FR"/>
        </w:rPr>
        <w:t xml:space="preserve"> être </w:t>
      </w:r>
      <w:r w:rsidR="00503069" w:rsidRPr="007F3E67">
        <w:rPr>
          <w:lang w:val="fr-FR"/>
        </w:rPr>
        <w:t>prononcée</w:t>
      </w:r>
      <w:r w:rsidR="00C67E02" w:rsidRPr="007F3E67">
        <w:rPr>
          <w:lang w:val="fr-FR"/>
        </w:rPr>
        <w:t xml:space="preserve"> lorsque les mauvais traitements en question ont causé le décès de la victime.</w:t>
      </w:r>
    </w:p>
    <w:p w:rsidR="00455811" w:rsidRPr="007F3E67" w:rsidRDefault="00886D8C" w:rsidP="007F3E67">
      <w:pPr>
        <w:pStyle w:val="ECHRHeading5"/>
        <w:rPr>
          <w:lang w:val="fr-FR"/>
        </w:rPr>
      </w:pPr>
      <w:r w:rsidRPr="007F3E67">
        <w:rPr>
          <w:lang w:val="fr-FR"/>
        </w:rPr>
        <w:t>ii.</w:t>
      </w:r>
      <w:r w:rsidR="00455811" w:rsidRPr="007F3E67">
        <w:rPr>
          <w:lang w:val="fr-FR"/>
        </w:rPr>
        <w:t>  Appréciation de la Cour</w:t>
      </w:r>
    </w:p>
    <w:p w:rsidR="00455811" w:rsidRPr="007F3E67" w:rsidRDefault="00886D8C" w:rsidP="007F3E67">
      <w:pPr>
        <w:pStyle w:val="ECHRHeading6"/>
        <w:rPr>
          <w:lang w:val="fr-FR"/>
        </w:rPr>
      </w:pPr>
      <w:r w:rsidRPr="007F3E67">
        <w:rPr>
          <w:rFonts w:cstheme="majorHAnsi"/>
          <w:lang w:val="fr-FR"/>
        </w:rPr>
        <w:t>α</w:t>
      </w:r>
      <w:r w:rsidRPr="007F3E67">
        <w:rPr>
          <w:lang w:val="fr-FR"/>
        </w:rPr>
        <w:t>)</w:t>
      </w:r>
      <w:r w:rsidR="00455811" w:rsidRPr="007F3E67">
        <w:rPr>
          <w:lang w:val="fr-FR"/>
        </w:rPr>
        <w:t>  Principes généraux</w:t>
      </w:r>
    </w:p>
    <w:p w:rsidR="00455811" w:rsidRPr="007F3E67" w:rsidRDefault="00455811" w:rsidP="007F3E67">
      <w:pPr>
        <w:pStyle w:val="ECHRPara"/>
        <w:rPr>
          <w:i/>
          <w:lang w:val="pt-PT"/>
        </w:rPr>
      </w:pPr>
      <w:r w:rsidRPr="007F3E67">
        <w:rPr>
          <w:lang w:val="fr-FR"/>
        </w:rPr>
        <w:fldChar w:fldCharType="begin"/>
      </w:r>
      <w:r w:rsidRPr="007F3E67">
        <w:rPr>
          <w:lang w:val="fr-FR"/>
        </w:rPr>
        <w:instrText xml:space="preserve"> SEQ level0 \*arabic </w:instrText>
      </w:r>
      <w:r w:rsidRPr="007F3E67">
        <w:rPr>
          <w:lang w:val="fr-FR"/>
        </w:rPr>
        <w:fldChar w:fldCharType="separate"/>
      </w:r>
      <w:r w:rsidR="007F3E67" w:rsidRPr="007F3E67">
        <w:rPr>
          <w:noProof/>
          <w:lang w:val="fr-FR"/>
        </w:rPr>
        <w:t>147</w:t>
      </w:r>
      <w:r w:rsidRPr="007F3E67">
        <w:rPr>
          <w:lang w:val="fr-FR"/>
        </w:rPr>
        <w:fldChar w:fldCharType="end"/>
      </w:r>
      <w:r w:rsidRPr="007F3E67">
        <w:rPr>
          <w:lang w:val="fr-FR"/>
        </w:rPr>
        <w:t>.  La Cour rappelle que, lorsqu</w:t>
      </w:r>
      <w:r w:rsidR="007F3E67" w:rsidRPr="007F3E67">
        <w:rPr>
          <w:lang w:val="fr-FR"/>
        </w:rPr>
        <w:t>’</w:t>
      </w:r>
      <w:r w:rsidRPr="007F3E67">
        <w:rPr>
          <w:lang w:val="fr-FR"/>
        </w:rPr>
        <w:t>un individu soutient de manière défendable avoir subi, aux mains de la police ou d</w:t>
      </w:r>
      <w:r w:rsidR="007F3E67" w:rsidRPr="007F3E67">
        <w:rPr>
          <w:lang w:val="fr-FR"/>
        </w:rPr>
        <w:t>’</w:t>
      </w:r>
      <w:r w:rsidRPr="007F3E67">
        <w:rPr>
          <w:lang w:val="fr-FR"/>
        </w:rPr>
        <w:t>autres services comparables de l</w:t>
      </w:r>
      <w:r w:rsidR="007F3E67" w:rsidRPr="007F3E67">
        <w:rPr>
          <w:lang w:val="fr-FR"/>
        </w:rPr>
        <w:t>’</w:t>
      </w:r>
      <w:r w:rsidRPr="007F3E67">
        <w:rPr>
          <w:lang w:val="fr-FR"/>
        </w:rPr>
        <w:t>État, un traitement contraire à l</w:t>
      </w:r>
      <w:r w:rsidR="007F3E67" w:rsidRPr="007F3E67">
        <w:rPr>
          <w:lang w:val="fr-FR"/>
        </w:rPr>
        <w:t>’</w:t>
      </w:r>
      <w:r w:rsidRPr="007F3E67">
        <w:rPr>
          <w:lang w:val="fr-FR"/>
        </w:rPr>
        <w:t>article 3 de la Convention, cette disposition, combinée avec le devoir général imposé à l</w:t>
      </w:r>
      <w:r w:rsidR="007F3E67" w:rsidRPr="007F3E67">
        <w:rPr>
          <w:lang w:val="fr-FR"/>
        </w:rPr>
        <w:t>’</w:t>
      </w:r>
      <w:r w:rsidRPr="007F3E67">
        <w:rPr>
          <w:lang w:val="fr-FR"/>
        </w:rPr>
        <w:t>État par l</w:t>
      </w:r>
      <w:r w:rsidR="007F3E67" w:rsidRPr="007F3E67">
        <w:rPr>
          <w:lang w:val="fr-FR"/>
        </w:rPr>
        <w:t>’</w:t>
      </w:r>
      <w:r w:rsidRPr="007F3E67">
        <w:rPr>
          <w:lang w:val="fr-FR"/>
        </w:rPr>
        <w:t>article 1 de « reconnaître à toute personne relevant de [sa] juridiction les droits et libertés définis (...) [dans la] Convention », requiert, par implication, qu</w:t>
      </w:r>
      <w:r w:rsidR="007F3E67" w:rsidRPr="007F3E67">
        <w:rPr>
          <w:lang w:val="fr-FR"/>
        </w:rPr>
        <w:t>’</w:t>
      </w:r>
      <w:r w:rsidRPr="007F3E67">
        <w:rPr>
          <w:lang w:val="fr-FR"/>
        </w:rPr>
        <w:t>il y ait une enquête officielle effective. Cette enquête doit pouvoir mener à l</w:t>
      </w:r>
      <w:r w:rsidR="007F3E67" w:rsidRPr="007F3E67">
        <w:rPr>
          <w:lang w:val="fr-FR"/>
        </w:rPr>
        <w:t>’</w:t>
      </w:r>
      <w:r w:rsidRPr="007F3E67">
        <w:rPr>
          <w:lang w:val="fr-FR"/>
        </w:rPr>
        <w:t>identification et, le cas échéant, à la punition des responsables et à l</w:t>
      </w:r>
      <w:r w:rsidR="007F3E67" w:rsidRPr="007F3E67">
        <w:rPr>
          <w:lang w:val="fr-FR"/>
        </w:rPr>
        <w:t>’</w:t>
      </w:r>
      <w:r w:rsidRPr="007F3E67">
        <w:rPr>
          <w:lang w:val="fr-FR"/>
        </w:rPr>
        <w:t>établissement de la vérité. S</w:t>
      </w:r>
      <w:r w:rsidR="007F3E67" w:rsidRPr="007F3E67">
        <w:rPr>
          <w:lang w:val="fr-FR"/>
        </w:rPr>
        <w:t>’</w:t>
      </w:r>
      <w:r w:rsidRPr="007F3E67">
        <w:rPr>
          <w:lang w:val="fr-FR"/>
        </w:rPr>
        <w:t>il n</w:t>
      </w:r>
      <w:r w:rsidR="007F3E67" w:rsidRPr="007F3E67">
        <w:rPr>
          <w:lang w:val="fr-FR"/>
        </w:rPr>
        <w:t>’</w:t>
      </w:r>
      <w:r w:rsidRPr="007F3E67">
        <w:rPr>
          <w:lang w:val="fr-FR"/>
        </w:rPr>
        <w:t>en allait pas ainsi, nonobstant son importance fondamentale, l</w:t>
      </w:r>
      <w:r w:rsidR="007F3E67" w:rsidRPr="007F3E67">
        <w:rPr>
          <w:lang w:val="fr-FR"/>
        </w:rPr>
        <w:t>’</w:t>
      </w:r>
      <w:r w:rsidRPr="007F3E67">
        <w:rPr>
          <w:lang w:val="fr-FR"/>
        </w:rPr>
        <w:t>interdiction légale générale de la torture et des peines et traitements inhumains ou dégradants serait inefficace en pratique, et il serait possible dans certains cas à des agents de l</w:t>
      </w:r>
      <w:r w:rsidR="007F3E67" w:rsidRPr="007F3E67">
        <w:rPr>
          <w:lang w:val="fr-FR"/>
        </w:rPr>
        <w:t>’</w:t>
      </w:r>
      <w:r w:rsidRPr="007F3E67">
        <w:rPr>
          <w:lang w:val="fr-FR"/>
        </w:rPr>
        <w:t xml:space="preserve">État de </w:t>
      </w:r>
      <w:r w:rsidR="00D71B07" w:rsidRPr="007F3E67">
        <w:rPr>
          <w:lang w:val="fr-FR"/>
        </w:rPr>
        <w:t>piétiner</w:t>
      </w:r>
      <w:r w:rsidRPr="007F3E67">
        <w:rPr>
          <w:lang w:val="fr-FR"/>
        </w:rPr>
        <w:t>, en jouissant d</w:t>
      </w:r>
      <w:r w:rsidR="007F3E67" w:rsidRPr="007F3E67">
        <w:rPr>
          <w:lang w:val="fr-FR"/>
        </w:rPr>
        <w:t>’</w:t>
      </w:r>
      <w:r w:rsidRPr="007F3E67">
        <w:rPr>
          <w:lang w:val="fr-FR"/>
        </w:rPr>
        <w:t>une impunité</w:t>
      </w:r>
      <w:r w:rsidR="007F4241" w:rsidRPr="007F3E67">
        <w:rPr>
          <w:lang w:val="fr-FR"/>
        </w:rPr>
        <w:t xml:space="preserve"> virtuelle</w:t>
      </w:r>
      <w:r w:rsidRPr="007F3E67">
        <w:rPr>
          <w:lang w:val="fr-FR"/>
        </w:rPr>
        <w:t>, les droits des personnes soumises à leur contrôle (</w:t>
      </w:r>
      <w:r w:rsidR="00EC3064" w:rsidRPr="007F3E67">
        <w:rPr>
          <w:lang w:val="fr-FR"/>
        </w:rPr>
        <w:t>voir, parmi beaucoup d</w:t>
      </w:r>
      <w:r w:rsidR="007F3E67" w:rsidRPr="007F3E67">
        <w:rPr>
          <w:lang w:val="fr-FR"/>
        </w:rPr>
        <w:t>’</w:t>
      </w:r>
      <w:r w:rsidR="00EC3064" w:rsidRPr="007F3E67">
        <w:rPr>
          <w:lang w:val="fr-FR"/>
        </w:rPr>
        <w:t xml:space="preserve">autres, </w:t>
      </w:r>
      <w:r w:rsidR="00EC3064" w:rsidRPr="007F3E67">
        <w:rPr>
          <w:i/>
          <w:lang w:val="fr-FR"/>
        </w:rPr>
        <w:t>Nasr et Ghali</w:t>
      </w:r>
      <w:r w:rsidR="00EC3064" w:rsidRPr="007F3E67">
        <w:rPr>
          <w:lang w:val="fr-FR"/>
        </w:rPr>
        <w:t xml:space="preserve"> </w:t>
      </w:r>
      <w:r w:rsidR="00EC3064" w:rsidRPr="007F3E67">
        <w:rPr>
          <w:i/>
          <w:lang w:val="fr-FR"/>
        </w:rPr>
        <w:t>c. Italie</w:t>
      </w:r>
      <w:r w:rsidR="00EC3064" w:rsidRPr="007F3E67">
        <w:rPr>
          <w:snapToGrid w:val="0"/>
          <w:lang w:val="fr-FR"/>
        </w:rPr>
        <w:t>, n</w:t>
      </w:r>
      <w:r w:rsidR="00EC3064" w:rsidRPr="007F3E67">
        <w:rPr>
          <w:snapToGrid w:val="0"/>
          <w:vertAlign w:val="superscript"/>
          <w:lang w:val="fr-FR"/>
        </w:rPr>
        <w:t>o</w:t>
      </w:r>
      <w:r w:rsidR="00EC3064" w:rsidRPr="007F3E67">
        <w:rPr>
          <w:snapToGrid w:val="0"/>
          <w:lang w:val="fr-FR"/>
        </w:rPr>
        <w:t xml:space="preserve"> </w:t>
      </w:r>
      <w:r w:rsidR="00EC3064" w:rsidRPr="007F3E67">
        <w:rPr>
          <w:lang w:val="fr-FR"/>
        </w:rPr>
        <w:t>44883/09</w:t>
      </w:r>
      <w:r w:rsidR="00EC3064" w:rsidRPr="007F3E67">
        <w:rPr>
          <w:snapToGrid w:val="0"/>
          <w:lang w:val="fr-FR"/>
        </w:rPr>
        <w:t>, § 262, 23 février 2016</w:t>
      </w:r>
      <w:r w:rsidRPr="007F3E67">
        <w:rPr>
          <w:lang w:val="fr-FR"/>
        </w:rPr>
        <w:t>).</w:t>
      </w:r>
    </w:p>
    <w:bookmarkStart w:id="18" w:name="principes_enquete_effective"/>
    <w:p w:rsidR="00455811" w:rsidRPr="007F3E67" w:rsidRDefault="00455811" w:rsidP="007F3E67">
      <w:pPr>
        <w:pStyle w:val="ECHRPara"/>
        <w:rPr>
          <w:lang w:val="fr-FR"/>
        </w:rPr>
      </w:pPr>
      <w:r w:rsidRPr="007F3E67">
        <w:rPr>
          <w:lang w:val="fr-FR"/>
        </w:rPr>
        <w:fldChar w:fldCharType="begin"/>
      </w:r>
      <w:r w:rsidRPr="007F3E67">
        <w:rPr>
          <w:lang w:val="fr-FR"/>
        </w:rPr>
        <w:instrText xml:space="preserve"> SEQ level0 \*arabic </w:instrText>
      </w:r>
      <w:r w:rsidRPr="007F3E67">
        <w:rPr>
          <w:lang w:val="fr-FR"/>
        </w:rPr>
        <w:fldChar w:fldCharType="separate"/>
      </w:r>
      <w:r w:rsidR="007F3E67" w:rsidRPr="007F3E67">
        <w:rPr>
          <w:noProof/>
          <w:lang w:val="fr-FR"/>
        </w:rPr>
        <w:t>148</w:t>
      </w:r>
      <w:r w:rsidRPr="007F3E67">
        <w:rPr>
          <w:lang w:val="fr-FR"/>
        </w:rPr>
        <w:fldChar w:fldCharType="end"/>
      </w:r>
      <w:bookmarkEnd w:id="18"/>
      <w:r w:rsidRPr="007F3E67">
        <w:rPr>
          <w:lang w:val="fr-FR"/>
        </w:rPr>
        <w:t>.  Les principes pertinents concernant les éléments d</w:t>
      </w:r>
      <w:r w:rsidR="007F3E67" w:rsidRPr="007F3E67">
        <w:rPr>
          <w:lang w:val="fr-FR"/>
        </w:rPr>
        <w:t>’</w:t>
      </w:r>
      <w:r w:rsidRPr="007F3E67">
        <w:rPr>
          <w:lang w:val="fr-FR"/>
        </w:rPr>
        <w:t>« une enquête officielle effective » ont été rappelés récemment par la Cour dans l</w:t>
      </w:r>
      <w:r w:rsidR="007F3E67" w:rsidRPr="007F3E67">
        <w:rPr>
          <w:lang w:val="fr-FR"/>
        </w:rPr>
        <w:t>’</w:t>
      </w:r>
      <w:r w:rsidRPr="007F3E67">
        <w:rPr>
          <w:lang w:val="fr-FR"/>
        </w:rPr>
        <w:t xml:space="preserve">arrêt </w:t>
      </w:r>
      <w:r w:rsidRPr="007F3E67">
        <w:rPr>
          <w:i/>
          <w:lang w:val="fr-FR"/>
        </w:rPr>
        <w:t xml:space="preserve">Cestaro </w:t>
      </w:r>
      <w:r w:rsidRPr="007F3E67">
        <w:rPr>
          <w:lang w:val="fr-FR"/>
        </w:rPr>
        <w:t>(précité</w:t>
      </w:r>
      <w:r w:rsidRPr="007F3E67">
        <w:rPr>
          <w:snapToGrid w:val="0"/>
          <w:lang w:val="fr-FR"/>
        </w:rPr>
        <w:t>, §</w:t>
      </w:r>
      <w:r w:rsidRPr="007F3E67">
        <w:rPr>
          <w:lang w:val="fr-FR"/>
        </w:rPr>
        <w:t>§ 205-212</w:t>
      </w:r>
      <w:r w:rsidRPr="007F3E67">
        <w:rPr>
          <w:snapToGrid w:val="0"/>
          <w:lang w:val="fr-FR"/>
        </w:rPr>
        <w:t xml:space="preserve">, </w:t>
      </w:r>
      <w:r w:rsidRPr="007F3E67">
        <w:rPr>
          <w:lang w:val="fr-FR"/>
        </w:rPr>
        <w:t>et les références qui y sont citées</w:t>
      </w:r>
      <w:r w:rsidRPr="007F3E67">
        <w:rPr>
          <w:snapToGrid w:val="0"/>
          <w:lang w:val="fr-FR"/>
        </w:rPr>
        <w:t>)</w:t>
      </w:r>
      <w:r w:rsidRPr="007F3E67">
        <w:rPr>
          <w:lang w:val="fr-FR"/>
        </w:rPr>
        <w:t xml:space="preserve"> et résumés dans </w:t>
      </w:r>
      <w:r w:rsidR="00EC3064" w:rsidRPr="007F3E67">
        <w:rPr>
          <w:lang w:val="fr-FR"/>
        </w:rPr>
        <w:t xml:space="preserve">son arrêt </w:t>
      </w:r>
      <w:r w:rsidR="00EC3064" w:rsidRPr="007F3E67">
        <w:rPr>
          <w:i/>
          <w:lang w:val="fr-FR"/>
        </w:rPr>
        <w:t>Nasr et Ghali</w:t>
      </w:r>
      <w:r w:rsidR="00EC3064" w:rsidRPr="007F3E67">
        <w:rPr>
          <w:lang w:val="fr-FR"/>
        </w:rPr>
        <w:t xml:space="preserve"> (précité, § 263), </w:t>
      </w:r>
      <w:r w:rsidR="00AE1B44" w:rsidRPr="007F3E67">
        <w:rPr>
          <w:snapToGrid w:val="0"/>
          <w:lang w:val="fr-FR"/>
        </w:rPr>
        <w:t>auxquels l</w:t>
      </w:r>
      <w:r w:rsidR="008F1AF0" w:rsidRPr="007F3E67">
        <w:rPr>
          <w:snapToGrid w:val="0"/>
          <w:lang w:val="fr-FR"/>
        </w:rPr>
        <w:t>a</w:t>
      </w:r>
      <w:r w:rsidR="00AE1B44" w:rsidRPr="007F3E67">
        <w:rPr>
          <w:snapToGrid w:val="0"/>
          <w:lang w:val="fr-FR"/>
        </w:rPr>
        <w:t xml:space="preserve"> Cour renvoie.</w:t>
      </w:r>
    </w:p>
    <w:p w:rsidR="00455811" w:rsidRPr="007F3E67" w:rsidRDefault="00455811" w:rsidP="007F3E67">
      <w:pPr>
        <w:pStyle w:val="ECHRHeading6"/>
        <w:rPr>
          <w:lang w:val="fr-FR"/>
        </w:rPr>
      </w:pPr>
      <w:r w:rsidRPr="007F3E67">
        <w:rPr>
          <w:rFonts w:cstheme="majorHAnsi"/>
          <w:lang w:val="fr-FR"/>
        </w:rPr>
        <w:t>β</w:t>
      </w:r>
      <w:r w:rsidR="001971A5" w:rsidRPr="007F3E67">
        <w:rPr>
          <w:rFonts w:cstheme="majorHAnsi"/>
          <w:lang w:val="fr-FR"/>
        </w:rPr>
        <w:t>)</w:t>
      </w:r>
      <w:r w:rsidRPr="007F3E67">
        <w:rPr>
          <w:lang w:val="fr-FR"/>
        </w:rPr>
        <w:t>  Application de ces principes aux circonstances des présentes espèces</w:t>
      </w:r>
    </w:p>
    <w:p w:rsidR="00455811" w:rsidRPr="007F3E67" w:rsidRDefault="00455811" w:rsidP="007F3E67">
      <w:pPr>
        <w:pStyle w:val="ECHRPara"/>
        <w:rPr>
          <w:lang w:val="fr-FR"/>
        </w:rPr>
      </w:pPr>
      <w:r w:rsidRPr="007F3E67">
        <w:rPr>
          <w:lang w:val="fr-FR"/>
        </w:rPr>
        <w:fldChar w:fldCharType="begin"/>
      </w:r>
      <w:r w:rsidRPr="007F3E67">
        <w:rPr>
          <w:lang w:val="fr-FR"/>
        </w:rPr>
        <w:instrText xml:space="preserve"> SEQ level0 \*arabic </w:instrText>
      </w:r>
      <w:r w:rsidRPr="007F3E67">
        <w:rPr>
          <w:lang w:val="fr-FR"/>
        </w:rPr>
        <w:fldChar w:fldCharType="separate"/>
      </w:r>
      <w:r w:rsidR="007F3E67" w:rsidRPr="007F3E67">
        <w:rPr>
          <w:noProof/>
          <w:lang w:val="fr-FR"/>
        </w:rPr>
        <w:t>149</w:t>
      </w:r>
      <w:r w:rsidRPr="007F3E67">
        <w:rPr>
          <w:lang w:val="fr-FR"/>
        </w:rPr>
        <w:fldChar w:fldCharType="end"/>
      </w:r>
      <w:r w:rsidRPr="007F3E67">
        <w:rPr>
          <w:lang w:val="fr-FR"/>
        </w:rPr>
        <w:t>.  La Cour observe d</w:t>
      </w:r>
      <w:r w:rsidR="007F3E67" w:rsidRPr="007F3E67">
        <w:rPr>
          <w:lang w:val="fr-FR"/>
        </w:rPr>
        <w:t>’</w:t>
      </w:r>
      <w:r w:rsidRPr="007F3E67">
        <w:rPr>
          <w:lang w:val="fr-FR"/>
        </w:rPr>
        <w:t>emblée que la plupart des auteurs matériels d</w:t>
      </w:r>
      <w:r w:rsidR="00D02933" w:rsidRPr="007F3E67">
        <w:rPr>
          <w:lang w:val="fr-FR"/>
        </w:rPr>
        <w:t xml:space="preserve">es </w:t>
      </w:r>
      <w:r w:rsidRPr="007F3E67">
        <w:rPr>
          <w:lang w:val="fr-FR"/>
        </w:rPr>
        <w:t xml:space="preserve">actes de « torture » (paragraphe </w:t>
      </w:r>
      <w:r w:rsidR="006B7016" w:rsidRPr="007F3E67">
        <w:rPr>
          <w:lang w:val="fr-FR"/>
        </w:rPr>
        <w:fldChar w:fldCharType="begin"/>
      </w:r>
      <w:r w:rsidR="006B7016" w:rsidRPr="007F3E67">
        <w:rPr>
          <w:lang w:val="fr-FR"/>
        </w:rPr>
        <w:instrText xml:space="preserve"> REF DIFFICULTES_ENQUETE \h </w:instrText>
      </w:r>
      <w:r w:rsidR="007E235C" w:rsidRPr="007F3E67">
        <w:rPr>
          <w:lang w:val="fr-FR"/>
        </w:rPr>
        <w:instrText xml:space="preserve"> \* MERGEFORMAT </w:instrText>
      </w:r>
      <w:r w:rsidR="006B7016" w:rsidRPr="007F3E67">
        <w:rPr>
          <w:lang w:val="fr-FR"/>
        </w:rPr>
      </w:r>
      <w:r w:rsidR="006B7016" w:rsidRPr="007F3E67">
        <w:rPr>
          <w:lang w:val="fr-FR"/>
        </w:rPr>
        <w:fldChar w:fldCharType="separate"/>
      </w:r>
      <w:r w:rsidR="007F3E67" w:rsidRPr="007F3E67">
        <w:rPr>
          <w:rFonts w:ascii="Times New Roman" w:hAnsi="Times New Roman"/>
          <w:noProof/>
          <w:lang w:val="fr-FR"/>
        </w:rPr>
        <w:t>54</w:t>
      </w:r>
      <w:r w:rsidR="006B7016" w:rsidRPr="007F3E67">
        <w:rPr>
          <w:lang w:val="fr-FR"/>
        </w:rPr>
        <w:fldChar w:fldCharType="end"/>
      </w:r>
      <w:r w:rsidR="00627A73" w:rsidRPr="007F3E67">
        <w:rPr>
          <w:lang w:val="fr-FR"/>
        </w:rPr>
        <w:t xml:space="preserve"> </w:t>
      </w:r>
      <w:r w:rsidRPr="007F3E67">
        <w:rPr>
          <w:lang w:val="fr-FR"/>
        </w:rPr>
        <w:t>ci-dessus) n</w:t>
      </w:r>
      <w:r w:rsidR="007F3E67" w:rsidRPr="007F3E67">
        <w:rPr>
          <w:lang w:val="fr-FR"/>
        </w:rPr>
        <w:t>’</w:t>
      </w:r>
      <w:r w:rsidRPr="007F3E67">
        <w:rPr>
          <w:lang w:val="fr-FR"/>
        </w:rPr>
        <w:t xml:space="preserve">ont </w:t>
      </w:r>
      <w:r w:rsidR="00B43294" w:rsidRPr="007F3E67">
        <w:rPr>
          <w:lang w:val="fr-FR"/>
        </w:rPr>
        <w:t xml:space="preserve">pas </w:t>
      </w:r>
      <w:r w:rsidRPr="007F3E67">
        <w:rPr>
          <w:lang w:val="fr-FR"/>
        </w:rPr>
        <w:t>pu être identifiés par les autorités judiciaires</w:t>
      </w:r>
      <w:r w:rsidR="00B43294" w:rsidRPr="007F3E67">
        <w:rPr>
          <w:lang w:val="fr-FR"/>
        </w:rPr>
        <w:t xml:space="preserve"> </w:t>
      </w:r>
      <w:r w:rsidR="003E0F56" w:rsidRPr="007F3E67">
        <w:rPr>
          <w:lang w:val="fr-FR"/>
        </w:rPr>
        <w:t>n</w:t>
      </w:r>
      <w:r w:rsidR="001971A5" w:rsidRPr="007F3E67">
        <w:rPr>
          <w:lang w:val="fr-FR"/>
        </w:rPr>
        <w:t>i</w:t>
      </w:r>
      <w:r w:rsidR="003E0F56" w:rsidRPr="007F3E67">
        <w:rPr>
          <w:lang w:val="fr-FR"/>
        </w:rPr>
        <w:t xml:space="preserve"> inquiétés par une enquête</w:t>
      </w:r>
      <w:r w:rsidR="00F0487A" w:rsidRPr="007F3E67">
        <w:rPr>
          <w:lang w:val="fr-FR"/>
        </w:rPr>
        <w:t>,</w:t>
      </w:r>
      <w:r w:rsidRPr="007F3E67">
        <w:rPr>
          <w:lang w:val="fr-FR"/>
        </w:rPr>
        <w:t xml:space="preserve"> et</w:t>
      </w:r>
      <w:r w:rsidR="00A13CCB" w:rsidRPr="007F3E67">
        <w:rPr>
          <w:lang w:val="fr-FR"/>
        </w:rPr>
        <w:t xml:space="preserve"> qu</w:t>
      </w:r>
      <w:r w:rsidR="007F3E67" w:rsidRPr="007F3E67">
        <w:rPr>
          <w:lang w:val="fr-FR"/>
        </w:rPr>
        <w:t>’</w:t>
      </w:r>
      <w:r w:rsidR="00A13CCB" w:rsidRPr="007F3E67">
        <w:rPr>
          <w:lang w:val="fr-FR"/>
        </w:rPr>
        <w:t>ils</w:t>
      </w:r>
      <w:r w:rsidRPr="007F3E67">
        <w:rPr>
          <w:lang w:val="fr-FR"/>
        </w:rPr>
        <w:t xml:space="preserve"> sont donc restés impunis.</w:t>
      </w:r>
    </w:p>
    <w:p w:rsidR="00455811" w:rsidRPr="007F3E67" w:rsidRDefault="00455811" w:rsidP="007F3E67">
      <w:pPr>
        <w:pStyle w:val="ECHRPara"/>
        <w:rPr>
          <w:i/>
          <w:lang w:val="fr-FR"/>
        </w:rPr>
      </w:pPr>
      <w:r w:rsidRPr="007F3E67">
        <w:rPr>
          <w:lang w:val="fr-FR"/>
        </w:rPr>
        <w:fldChar w:fldCharType="begin"/>
      </w:r>
      <w:r w:rsidRPr="007F3E67">
        <w:rPr>
          <w:lang w:val="fr-FR"/>
        </w:rPr>
        <w:instrText xml:space="preserve"> SEQ level0 \*arabic </w:instrText>
      </w:r>
      <w:r w:rsidRPr="007F3E67">
        <w:rPr>
          <w:lang w:val="fr-FR"/>
        </w:rPr>
        <w:fldChar w:fldCharType="separate"/>
      </w:r>
      <w:r w:rsidR="007F3E67" w:rsidRPr="007F3E67">
        <w:rPr>
          <w:noProof/>
          <w:lang w:val="fr-FR"/>
        </w:rPr>
        <w:t>150</w:t>
      </w:r>
      <w:r w:rsidRPr="007F3E67">
        <w:rPr>
          <w:lang w:val="fr-FR"/>
        </w:rPr>
        <w:fldChar w:fldCharType="end"/>
      </w:r>
      <w:r w:rsidRPr="007F3E67">
        <w:rPr>
          <w:lang w:val="fr-FR"/>
        </w:rPr>
        <w:t>.  Tout en rappelant que l</w:t>
      </w:r>
      <w:r w:rsidR="007F3E67" w:rsidRPr="007F3E67">
        <w:rPr>
          <w:lang w:val="fr-FR"/>
        </w:rPr>
        <w:t>’</w:t>
      </w:r>
      <w:r w:rsidRPr="007F3E67">
        <w:rPr>
          <w:lang w:val="fr-FR"/>
        </w:rPr>
        <w:t>obligation de mener une enquête n</w:t>
      </w:r>
      <w:r w:rsidR="007F3E67" w:rsidRPr="007F3E67">
        <w:rPr>
          <w:lang w:val="fr-FR"/>
        </w:rPr>
        <w:t>’</w:t>
      </w:r>
      <w:r w:rsidRPr="007F3E67">
        <w:rPr>
          <w:lang w:val="fr-FR"/>
        </w:rPr>
        <w:t xml:space="preserve">est pas, selon </w:t>
      </w:r>
      <w:r w:rsidR="00B43294" w:rsidRPr="007F3E67">
        <w:rPr>
          <w:lang w:val="fr-FR"/>
        </w:rPr>
        <w:t>s</w:t>
      </w:r>
      <w:r w:rsidRPr="007F3E67">
        <w:rPr>
          <w:lang w:val="fr-FR"/>
        </w:rPr>
        <w:t>a jurisprudence, une obligation de résultat mais de moyens (voir, parmi beaucoup d</w:t>
      </w:r>
      <w:r w:rsidR="007F3E67" w:rsidRPr="007F3E67">
        <w:rPr>
          <w:lang w:val="fr-FR"/>
        </w:rPr>
        <w:t>’</w:t>
      </w:r>
      <w:r w:rsidRPr="007F3E67">
        <w:rPr>
          <w:lang w:val="fr-FR"/>
        </w:rPr>
        <w:t xml:space="preserve">autres, </w:t>
      </w:r>
      <w:r w:rsidRPr="007F3E67">
        <w:rPr>
          <w:i/>
          <w:lang w:val="fr-FR"/>
        </w:rPr>
        <w:t>Gheorghe Dima</w:t>
      </w:r>
      <w:r w:rsidRPr="007F3E67">
        <w:rPr>
          <w:lang w:val="fr-FR"/>
        </w:rPr>
        <w:t xml:space="preserve"> </w:t>
      </w:r>
      <w:r w:rsidRPr="007F3E67">
        <w:rPr>
          <w:i/>
          <w:lang w:val="fr-FR"/>
        </w:rPr>
        <w:t>c. Roumanie</w:t>
      </w:r>
      <w:r w:rsidRPr="007F3E67">
        <w:rPr>
          <w:lang w:val="fr-FR"/>
        </w:rPr>
        <w:t>, n</w:t>
      </w:r>
      <w:r w:rsidRPr="007F3E67">
        <w:rPr>
          <w:vertAlign w:val="superscript"/>
          <w:lang w:val="fr-FR"/>
        </w:rPr>
        <w:t>o</w:t>
      </w:r>
      <w:r w:rsidRPr="007F3E67">
        <w:rPr>
          <w:lang w:val="fr-FR"/>
        </w:rPr>
        <w:t> 2770/09</w:t>
      </w:r>
      <w:r w:rsidRPr="007F3E67">
        <w:rPr>
          <w:snapToGrid w:val="0"/>
          <w:lang w:val="fr-FR"/>
        </w:rPr>
        <w:t xml:space="preserve">, § 100, 19 </w:t>
      </w:r>
      <w:r w:rsidRPr="007F3E67">
        <w:rPr>
          <w:lang w:val="fr-FR"/>
        </w:rPr>
        <w:t>avril</w:t>
      </w:r>
      <w:r w:rsidRPr="007F3E67">
        <w:rPr>
          <w:snapToGrid w:val="0"/>
          <w:lang w:val="fr-FR"/>
        </w:rPr>
        <w:t xml:space="preserve"> 2016)</w:t>
      </w:r>
      <w:r w:rsidRPr="007F3E67">
        <w:rPr>
          <w:lang w:val="fr-FR"/>
        </w:rPr>
        <w:t xml:space="preserve">, il y a lieu de noter que les </w:t>
      </w:r>
      <w:r w:rsidR="005F7C0E" w:rsidRPr="007F3E67">
        <w:rPr>
          <w:lang w:val="fr-FR"/>
        </w:rPr>
        <w:t xml:space="preserve">remarquables </w:t>
      </w:r>
      <w:r w:rsidR="006E74BE" w:rsidRPr="007F3E67">
        <w:rPr>
          <w:lang w:val="fr-FR"/>
        </w:rPr>
        <w:t xml:space="preserve">efforts </w:t>
      </w:r>
      <w:r w:rsidRPr="007F3E67">
        <w:rPr>
          <w:lang w:val="fr-FR"/>
        </w:rPr>
        <w:t>des juges nationaux pour identifier les agents de police ayant participé</w:t>
      </w:r>
      <w:r w:rsidR="002C5785" w:rsidRPr="007F3E67">
        <w:rPr>
          <w:lang w:val="fr-FR"/>
        </w:rPr>
        <w:t xml:space="preserve"> aux faits dénoncés</w:t>
      </w:r>
      <w:r w:rsidRPr="007F3E67">
        <w:rPr>
          <w:lang w:val="fr-FR"/>
        </w:rPr>
        <w:t xml:space="preserve"> se sont soldés par un échec pour deux raisons principales.</w:t>
      </w:r>
    </w:p>
    <w:p w:rsidR="00455811" w:rsidRPr="007F3E67" w:rsidRDefault="00455811" w:rsidP="007F3E67">
      <w:pPr>
        <w:pStyle w:val="ECHRPara"/>
        <w:rPr>
          <w:lang w:val="fr-FR"/>
        </w:rPr>
      </w:pPr>
      <w:r w:rsidRPr="007F3E67">
        <w:rPr>
          <w:lang w:val="fr-FR"/>
        </w:rPr>
        <w:fldChar w:fldCharType="begin"/>
      </w:r>
      <w:r w:rsidRPr="007F3E67">
        <w:rPr>
          <w:lang w:val="fr-FR"/>
        </w:rPr>
        <w:instrText xml:space="preserve"> SEQ level0 \*arabic </w:instrText>
      </w:r>
      <w:r w:rsidRPr="007F3E67">
        <w:rPr>
          <w:lang w:val="fr-FR"/>
        </w:rPr>
        <w:fldChar w:fldCharType="separate"/>
      </w:r>
      <w:r w:rsidR="007F3E67" w:rsidRPr="007F3E67">
        <w:rPr>
          <w:noProof/>
          <w:lang w:val="fr-FR"/>
        </w:rPr>
        <w:t>151</w:t>
      </w:r>
      <w:r w:rsidRPr="007F3E67">
        <w:rPr>
          <w:lang w:val="fr-FR"/>
        </w:rPr>
        <w:fldChar w:fldCharType="end"/>
      </w:r>
      <w:r w:rsidRPr="007F3E67">
        <w:rPr>
          <w:lang w:val="fr-FR"/>
        </w:rPr>
        <w:t>.  </w:t>
      </w:r>
      <w:r w:rsidR="005F7C0E" w:rsidRPr="007F3E67">
        <w:rPr>
          <w:lang w:val="fr-FR"/>
        </w:rPr>
        <w:t>D</w:t>
      </w:r>
      <w:r w:rsidR="007F3E67" w:rsidRPr="007F3E67">
        <w:rPr>
          <w:lang w:val="fr-FR"/>
        </w:rPr>
        <w:t>’</w:t>
      </w:r>
      <w:r w:rsidR="005F7C0E" w:rsidRPr="007F3E67">
        <w:rPr>
          <w:lang w:val="fr-FR"/>
        </w:rPr>
        <w:t>une part,</w:t>
      </w:r>
      <w:r w:rsidRPr="007F3E67">
        <w:rPr>
          <w:lang w:val="fr-FR"/>
        </w:rPr>
        <w:t xml:space="preserve"> </w:t>
      </w:r>
      <w:r w:rsidR="007A68DE" w:rsidRPr="007F3E67">
        <w:rPr>
          <w:lang w:val="fr-FR"/>
        </w:rPr>
        <w:t>l</w:t>
      </w:r>
      <w:r w:rsidR="007F3E67" w:rsidRPr="007F3E67">
        <w:rPr>
          <w:lang w:val="fr-FR"/>
        </w:rPr>
        <w:t>’</w:t>
      </w:r>
      <w:r w:rsidR="007A68DE" w:rsidRPr="007F3E67">
        <w:rPr>
          <w:lang w:val="fr-FR"/>
        </w:rPr>
        <w:t xml:space="preserve">interdiction </w:t>
      </w:r>
      <w:r w:rsidR="00B43294" w:rsidRPr="007F3E67">
        <w:rPr>
          <w:lang w:val="fr-FR"/>
        </w:rPr>
        <w:t xml:space="preserve">faite aux requérants </w:t>
      </w:r>
      <w:r w:rsidR="007A68DE" w:rsidRPr="007F3E67">
        <w:rPr>
          <w:lang w:val="fr-FR"/>
        </w:rPr>
        <w:t xml:space="preserve">de regarder les agents et </w:t>
      </w:r>
      <w:r w:rsidR="00D02933" w:rsidRPr="007F3E67">
        <w:rPr>
          <w:lang w:val="fr-FR"/>
        </w:rPr>
        <w:t>l</w:t>
      </w:r>
      <w:r w:rsidR="007F3E67" w:rsidRPr="007F3E67">
        <w:rPr>
          <w:lang w:val="fr-FR"/>
        </w:rPr>
        <w:t>’</w:t>
      </w:r>
      <w:r w:rsidR="00D02933" w:rsidRPr="007F3E67">
        <w:rPr>
          <w:lang w:val="fr-FR"/>
        </w:rPr>
        <w:t xml:space="preserve">obligation </w:t>
      </w:r>
      <w:r w:rsidR="00B43294" w:rsidRPr="007F3E67">
        <w:rPr>
          <w:lang w:val="fr-FR"/>
        </w:rPr>
        <w:t xml:space="preserve">qui leur était </w:t>
      </w:r>
      <w:r w:rsidR="00D02933" w:rsidRPr="007F3E67">
        <w:rPr>
          <w:lang w:val="fr-FR"/>
        </w:rPr>
        <w:t xml:space="preserve">imposée de se tenir face aux grilles </w:t>
      </w:r>
      <w:r w:rsidR="00B43294" w:rsidRPr="007F3E67">
        <w:rPr>
          <w:lang w:val="fr-FR"/>
        </w:rPr>
        <w:t>à l</w:t>
      </w:r>
      <w:r w:rsidR="007F3E67" w:rsidRPr="007F3E67">
        <w:rPr>
          <w:lang w:val="fr-FR"/>
        </w:rPr>
        <w:t>’</w:t>
      </w:r>
      <w:r w:rsidR="00B43294" w:rsidRPr="007F3E67">
        <w:rPr>
          <w:lang w:val="fr-FR"/>
        </w:rPr>
        <w:t xml:space="preserve">extérieur de la caserne </w:t>
      </w:r>
      <w:r w:rsidR="00D02933" w:rsidRPr="007F3E67">
        <w:rPr>
          <w:lang w:val="fr-FR"/>
        </w:rPr>
        <w:t xml:space="preserve">ou au mur des cellules, combinée à </w:t>
      </w:r>
      <w:r w:rsidRPr="007F3E67">
        <w:rPr>
          <w:lang w:val="fr-FR"/>
        </w:rPr>
        <w:t>l</w:t>
      </w:r>
      <w:r w:rsidR="007F3E67" w:rsidRPr="007F3E67">
        <w:rPr>
          <w:lang w:val="fr-FR"/>
        </w:rPr>
        <w:t>’</w:t>
      </w:r>
      <w:r w:rsidRPr="007F3E67">
        <w:rPr>
          <w:lang w:val="fr-FR"/>
        </w:rPr>
        <w:t>absence de signes distinctifs sur l</w:t>
      </w:r>
      <w:r w:rsidR="007F3E67" w:rsidRPr="007F3E67">
        <w:rPr>
          <w:lang w:val="fr-FR"/>
        </w:rPr>
        <w:t>’</w:t>
      </w:r>
      <w:r w:rsidRPr="007F3E67">
        <w:rPr>
          <w:lang w:val="fr-FR"/>
        </w:rPr>
        <w:t>uniforme</w:t>
      </w:r>
      <w:r w:rsidR="007A68DE" w:rsidRPr="007F3E67">
        <w:rPr>
          <w:lang w:val="fr-FR"/>
        </w:rPr>
        <w:t xml:space="preserve"> des agents</w:t>
      </w:r>
      <w:r w:rsidRPr="007F3E67">
        <w:rPr>
          <w:lang w:val="fr-FR"/>
        </w:rPr>
        <w:t>, tel qu</w:t>
      </w:r>
      <w:r w:rsidR="007F3E67" w:rsidRPr="007F3E67">
        <w:rPr>
          <w:lang w:val="fr-FR"/>
        </w:rPr>
        <w:t>’</w:t>
      </w:r>
      <w:r w:rsidRPr="007F3E67">
        <w:rPr>
          <w:lang w:val="fr-FR"/>
        </w:rPr>
        <w:t xml:space="preserve">un numéro de matricule, </w:t>
      </w:r>
      <w:r w:rsidR="00D02933" w:rsidRPr="007F3E67">
        <w:rPr>
          <w:lang w:val="fr-FR"/>
        </w:rPr>
        <w:t>ont</w:t>
      </w:r>
      <w:r w:rsidRPr="007F3E67">
        <w:rPr>
          <w:lang w:val="fr-FR"/>
        </w:rPr>
        <w:t xml:space="preserve"> contribué à rendre impossible l</w:t>
      </w:r>
      <w:r w:rsidR="007F3E67" w:rsidRPr="007F3E67">
        <w:rPr>
          <w:lang w:val="fr-FR"/>
        </w:rPr>
        <w:t>’</w:t>
      </w:r>
      <w:r w:rsidRPr="007F3E67">
        <w:rPr>
          <w:lang w:val="fr-FR"/>
        </w:rPr>
        <w:t xml:space="preserve">identification </w:t>
      </w:r>
      <w:r w:rsidR="00E610DF" w:rsidRPr="007F3E67">
        <w:rPr>
          <w:lang w:val="fr-FR"/>
        </w:rPr>
        <w:t xml:space="preserve">par les victimes </w:t>
      </w:r>
      <w:r w:rsidRPr="007F3E67">
        <w:rPr>
          <w:lang w:val="fr-FR"/>
        </w:rPr>
        <w:t xml:space="preserve">des policiers </w:t>
      </w:r>
      <w:r w:rsidR="00D02933" w:rsidRPr="007F3E67">
        <w:rPr>
          <w:lang w:val="fr-FR"/>
        </w:rPr>
        <w:t>présents</w:t>
      </w:r>
      <w:r w:rsidRPr="007F3E67">
        <w:rPr>
          <w:lang w:val="fr-FR"/>
        </w:rPr>
        <w:t xml:space="preserve"> à l</w:t>
      </w:r>
      <w:r w:rsidR="007F3E67" w:rsidRPr="007F3E67">
        <w:rPr>
          <w:lang w:val="fr-FR"/>
        </w:rPr>
        <w:t>’</w:t>
      </w:r>
      <w:r w:rsidRPr="007F3E67">
        <w:rPr>
          <w:lang w:val="fr-FR"/>
        </w:rPr>
        <w:t>intérieur de l</w:t>
      </w:r>
      <w:r w:rsidR="00D02933" w:rsidRPr="007F3E67">
        <w:rPr>
          <w:lang w:val="fr-FR"/>
        </w:rPr>
        <w:t>a caserne de Bolzaneto</w:t>
      </w:r>
      <w:r w:rsidRPr="007F3E67">
        <w:rPr>
          <w:lang w:val="fr-FR"/>
        </w:rPr>
        <w:t>.</w:t>
      </w:r>
    </w:p>
    <w:p w:rsidR="00455811" w:rsidRPr="007F3E67" w:rsidRDefault="00455811" w:rsidP="007F3E67">
      <w:pPr>
        <w:pStyle w:val="ECHRPara"/>
        <w:rPr>
          <w:lang w:val="fr-FR"/>
        </w:rPr>
      </w:pPr>
      <w:r w:rsidRPr="007F3E67">
        <w:rPr>
          <w:lang w:val="fr-FR"/>
        </w:rPr>
        <w:fldChar w:fldCharType="begin"/>
      </w:r>
      <w:r w:rsidRPr="007F3E67">
        <w:rPr>
          <w:lang w:val="fr-FR"/>
        </w:rPr>
        <w:instrText xml:space="preserve"> SEQ level0 \*arabic </w:instrText>
      </w:r>
      <w:r w:rsidRPr="007F3E67">
        <w:rPr>
          <w:lang w:val="fr-FR"/>
        </w:rPr>
        <w:fldChar w:fldCharType="separate"/>
      </w:r>
      <w:r w:rsidR="007F3E67" w:rsidRPr="007F3E67">
        <w:rPr>
          <w:noProof/>
          <w:lang w:val="fr-FR"/>
        </w:rPr>
        <w:t>152</w:t>
      </w:r>
      <w:r w:rsidRPr="007F3E67">
        <w:rPr>
          <w:lang w:val="fr-FR"/>
        </w:rPr>
        <w:fldChar w:fldCharType="end"/>
      </w:r>
      <w:r w:rsidRPr="007F3E67">
        <w:rPr>
          <w:lang w:val="fr-FR"/>
        </w:rPr>
        <w:t>.  D</w:t>
      </w:r>
      <w:r w:rsidR="007F3E67" w:rsidRPr="007F3E67">
        <w:rPr>
          <w:lang w:val="fr-FR"/>
        </w:rPr>
        <w:t>’</w:t>
      </w:r>
      <w:r w:rsidR="00D02933" w:rsidRPr="007F3E67">
        <w:rPr>
          <w:lang w:val="fr-FR"/>
        </w:rPr>
        <w:t>autre</w:t>
      </w:r>
      <w:r w:rsidRPr="007F3E67">
        <w:rPr>
          <w:lang w:val="fr-FR"/>
        </w:rPr>
        <w:t xml:space="preserve"> part,</w:t>
      </w:r>
      <w:r w:rsidR="00D02933" w:rsidRPr="007F3E67">
        <w:rPr>
          <w:lang w:val="fr-FR"/>
        </w:rPr>
        <w:t xml:space="preserve"> la Cour </w:t>
      </w:r>
      <w:r w:rsidR="006E74BE" w:rsidRPr="007F3E67">
        <w:rPr>
          <w:lang w:val="fr-FR"/>
        </w:rPr>
        <w:t>constate</w:t>
      </w:r>
      <w:r w:rsidR="00D02933" w:rsidRPr="007F3E67">
        <w:rPr>
          <w:lang w:val="fr-FR"/>
        </w:rPr>
        <w:t xml:space="preserve"> que</w:t>
      </w:r>
      <w:r w:rsidRPr="007F3E67">
        <w:rPr>
          <w:lang w:val="fr-FR"/>
        </w:rPr>
        <w:t xml:space="preserve"> le regrettable manque de coopération de la police avec les autorités</w:t>
      </w:r>
      <w:r w:rsidR="00A91D0A" w:rsidRPr="007F3E67">
        <w:rPr>
          <w:lang w:val="fr-FR"/>
        </w:rPr>
        <w:t xml:space="preserve"> judiciaires</w:t>
      </w:r>
      <w:r w:rsidRPr="007F3E67">
        <w:rPr>
          <w:lang w:val="fr-FR"/>
        </w:rPr>
        <w:t xml:space="preserve"> chargées de l</w:t>
      </w:r>
      <w:r w:rsidR="007F3E67" w:rsidRPr="007F3E67">
        <w:rPr>
          <w:lang w:val="fr-FR"/>
        </w:rPr>
        <w:t>’</w:t>
      </w:r>
      <w:r w:rsidRPr="007F3E67">
        <w:rPr>
          <w:lang w:val="fr-FR"/>
        </w:rPr>
        <w:t>enquête a été déterminant en l</w:t>
      </w:r>
      <w:r w:rsidR="007F3E67" w:rsidRPr="007F3E67">
        <w:rPr>
          <w:lang w:val="fr-FR"/>
        </w:rPr>
        <w:t>’</w:t>
      </w:r>
      <w:r w:rsidRPr="007F3E67">
        <w:rPr>
          <w:lang w:val="fr-FR"/>
        </w:rPr>
        <w:t>occurrence.</w:t>
      </w:r>
    </w:p>
    <w:p w:rsidR="00912152" w:rsidRPr="007F3E67" w:rsidRDefault="00455811" w:rsidP="007F3E67">
      <w:pPr>
        <w:pStyle w:val="ECHRPara"/>
        <w:rPr>
          <w:lang w:val="fr-FR"/>
        </w:rPr>
      </w:pPr>
      <w:r w:rsidRPr="007F3E67">
        <w:rPr>
          <w:lang w:val="fr-FR"/>
        </w:rPr>
        <w:fldChar w:fldCharType="begin"/>
      </w:r>
      <w:r w:rsidRPr="007F3E67">
        <w:rPr>
          <w:lang w:val="fr-FR"/>
        </w:rPr>
        <w:instrText xml:space="preserve"> SEQ level0 \*arabic </w:instrText>
      </w:r>
      <w:r w:rsidRPr="007F3E67">
        <w:rPr>
          <w:lang w:val="fr-FR"/>
        </w:rPr>
        <w:fldChar w:fldCharType="separate"/>
      </w:r>
      <w:r w:rsidR="007F3E67" w:rsidRPr="007F3E67">
        <w:rPr>
          <w:noProof/>
          <w:lang w:val="fr-FR"/>
        </w:rPr>
        <w:t>153</w:t>
      </w:r>
      <w:r w:rsidRPr="007F3E67">
        <w:rPr>
          <w:lang w:val="fr-FR"/>
        </w:rPr>
        <w:fldChar w:fldCharType="end"/>
      </w:r>
      <w:r w:rsidRPr="007F3E67">
        <w:rPr>
          <w:lang w:val="fr-FR"/>
        </w:rPr>
        <w:t>.  </w:t>
      </w:r>
      <w:r w:rsidR="0017142E" w:rsidRPr="007F3E67">
        <w:rPr>
          <w:lang w:val="fr-FR"/>
        </w:rPr>
        <w:t>En ce qui concerne</w:t>
      </w:r>
      <w:r w:rsidR="007A68DE" w:rsidRPr="007F3E67">
        <w:rPr>
          <w:lang w:val="fr-FR"/>
        </w:rPr>
        <w:t xml:space="preserve"> la procédure pénale, </w:t>
      </w:r>
      <w:r w:rsidR="00B43294" w:rsidRPr="007F3E67">
        <w:rPr>
          <w:lang w:val="fr-FR"/>
        </w:rPr>
        <w:t>elle</w:t>
      </w:r>
      <w:r w:rsidRPr="007F3E67">
        <w:rPr>
          <w:lang w:val="fr-FR"/>
        </w:rPr>
        <w:t xml:space="preserve"> note que l</w:t>
      </w:r>
      <w:r w:rsidR="009062E4" w:rsidRPr="007F3E67">
        <w:rPr>
          <w:lang w:val="fr-FR"/>
        </w:rPr>
        <w:t>a vaste majorité d</w:t>
      </w:r>
      <w:r w:rsidRPr="007F3E67">
        <w:rPr>
          <w:lang w:val="fr-FR"/>
        </w:rPr>
        <w:t>es délits de lésions corporelles</w:t>
      </w:r>
      <w:r w:rsidR="009062E4" w:rsidRPr="007F3E67">
        <w:rPr>
          <w:lang w:val="fr-FR"/>
        </w:rPr>
        <w:t>,</w:t>
      </w:r>
      <w:r w:rsidRPr="007F3E67">
        <w:rPr>
          <w:lang w:val="fr-FR"/>
        </w:rPr>
        <w:t xml:space="preserve"> simples ou aggravées</w:t>
      </w:r>
      <w:r w:rsidR="009062E4" w:rsidRPr="007F3E67">
        <w:rPr>
          <w:lang w:val="fr-FR"/>
        </w:rPr>
        <w:t>,</w:t>
      </w:r>
      <w:r w:rsidRPr="007F3E67">
        <w:rPr>
          <w:lang w:val="fr-FR"/>
        </w:rPr>
        <w:t xml:space="preserve"> ainsi que ceux de calomnie et d</w:t>
      </w:r>
      <w:r w:rsidR="007F3E67" w:rsidRPr="007F3E67">
        <w:rPr>
          <w:lang w:val="fr-FR"/>
        </w:rPr>
        <w:t>’</w:t>
      </w:r>
      <w:r w:rsidRPr="007F3E67">
        <w:rPr>
          <w:lang w:val="fr-FR"/>
        </w:rPr>
        <w:t>abus d</w:t>
      </w:r>
      <w:r w:rsidR="007F3E67" w:rsidRPr="007F3E67">
        <w:rPr>
          <w:lang w:val="fr-FR"/>
        </w:rPr>
        <w:t>’</w:t>
      </w:r>
      <w:r w:rsidRPr="007F3E67">
        <w:rPr>
          <w:lang w:val="fr-FR"/>
        </w:rPr>
        <w:t>autorité publique ont été</w:t>
      </w:r>
      <w:r w:rsidR="006B7016" w:rsidRPr="007F3E67">
        <w:rPr>
          <w:lang w:val="fr-FR"/>
        </w:rPr>
        <w:t xml:space="preserve"> déclarés prescrits</w:t>
      </w:r>
      <w:r w:rsidR="006E74BE" w:rsidRPr="007F3E67">
        <w:rPr>
          <w:lang w:val="fr-FR"/>
        </w:rPr>
        <w:t>. En effet, sur quarante-cinq personne renvoyées en justice, la Cour de cassation</w:t>
      </w:r>
      <w:r w:rsidR="00D74F1C" w:rsidRPr="007F3E67">
        <w:rPr>
          <w:lang w:val="fr-FR"/>
        </w:rPr>
        <w:t xml:space="preserve"> </w:t>
      </w:r>
      <w:r w:rsidR="009062E4" w:rsidRPr="007F3E67">
        <w:rPr>
          <w:lang w:val="fr-FR"/>
        </w:rPr>
        <w:t xml:space="preserve">(paragraphe </w:t>
      </w:r>
      <w:r w:rsidR="004E7096" w:rsidRPr="007F3E67">
        <w:rPr>
          <w:lang w:val="fr-FR"/>
        </w:rPr>
        <w:fldChar w:fldCharType="begin"/>
      </w:r>
      <w:r w:rsidR="004E7096" w:rsidRPr="007F3E67">
        <w:rPr>
          <w:lang w:val="fr-FR"/>
        </w:rPr>
        <w:instrText xml:space="preserve"> REF Cour_Cassation \h </w:instrText>
      </w:r>
      <w:r w:rsidR="00A86344" w:rsidRPr="007F3E67">
        <w:rPr>
          <w:lang w:val="fr-FR"/>
        </w:rPr>
        <w:instrText xml:space="preserve"> \* MERGEFORMAT </w:instrText>
      </w:r>
      <w:r w:rsidR="004E7096" w:rsidRPr="007F3E67">
        <w:rPr>
          <w:lang w:val="fr-FR"/>
        </w:rPr>
      </w:r>
      <w:r w:rsidR="004E7096" w:rsidRPr="007F3E67">
        <w:rPr>
          <w:lang w:val="fr-FR"/>
        </w:rPr>
        <w:fldChar w:fldCharType="separate"/>
      </w:r>
      <w:r w:rsidR="007F3E67" w:rsidRPr="007F3E67">
        <w:rPr>
          <w:noProof/>
          <w:lang w:val="fr-FR"/>
        </w:rPr>
        <w:t>69</w:t>
      </w:r>
      <w:r w:rsidR="004E7096" w:rsidRPr="007F3E67">
        <w:rPr>
          <w:lang w:val="fr-FR"/>
        </w:rPr>
        <w:fldChar w:fldCharType="end"/>
      </w:r>
      <w:r w:rsidR="009062E4" w:rsidRPr="007F3E67">
        <w:rPr>
          <w:lang w:val="fr-FR"/>
        </w:rPr>
        <w:t xml:space="preserve"> ci-dessus)</w:t>
      </w:r>
      <w:r w:rsidR="00912152" w:rsidRPr="007F3E67">
        <w:rPr>
          <w:lang w:val="fr-FR"/>
        </w:rPr>
        <w:t xml:space="preserve"> </w:t>
      </w:r>
      <w:r w:rsidR="00B43294" w:rsidRPr="007F3E67">
        <w:rPr>
          <w:lang w:val="fr-FR"/>
        </w:rPr>
        <w:t>n</w:t>
      </w:r>
      <w:r w:rsidR="007F3E67" w:rsidRPr="007F3E67">
        <w:rPr>
          <w:lang w:val="fr-FR"/>
        </w:rPr>
        <w:t>’</w:t>
      </w:r>
      <w:r w:rsidR="00912152" w:rsidRPr="007F3E67">
        <w:rPr>
          <w:lang w:val="fr-FR"/>
        </w:rPr>
        <w:t xml:space="preserve">a confirmé la condamnation </w:t>
      </w:r>
      <w:r w:rsidR="00B43294" w:rsidRPr="007F3E67">
        <w:rPr>
          <w:lang w:val="fr-FR"/>
        </w:rPr>
        <w:t xml:space="preserve">que </w:t>
      </w:r>
      <w:r w:rsidR="00912152" w:rsidRPr="007F3E67">
        <w:rPr>
          <w:lang w:val="fr-FR"/>
        </w:rPr>
        <w:t>de</w:t>
      </w:r>
      <w:r w:rsidR="009062E4" w:rsidRPr="007F3E67">
        <w:rPr>
          <w:lang w:val="fr-FR"/>
        </w:rPr>
        <w:t xml:space="preserve"> huit agents</w:t>
      </w:r>
      <w:r w:rsidR="003E0F56" w:rsidRPr="007F3E67">
        <w:rPr>
          <w:lang w:val="fr-FR"/>
        </w:rPr>
        <w:t xml:space="preserve"> ou cadre</w:t>
      </w:r>
      <w:r w:rsidR="00B43294" w:rsidRPr="007F3E67">
        <w:rPr>
          <w:lang w:val="fr-FR"/>
        </w:rPr>
        <w:t>s</w:t>
      </w:r>
      <w:r w:rsidR="003E0F56" w:rsidRPr="007F3E67">
        <w:rPr>
          <w:lang w:val="fr-FR"/>
        </w:rPr>
        <w:t xml:space="preserve"> des forces de l</w:t>
      </w:r>
      <w:r w:rsidR="007F3E67" w:rsidRPr="007F3E67">
        <w:rPr>
          <w:lang w:val="fr-FR"/>
        </w:rPr>
        <w:t>’</w:t>
      </w:r>
      <w:r w:rsidR="003E0F56" w:rsidRPr="007F3E67">
        <w:rPr>
          <w:lang w:val="fr-FR"/>
        </w:rPr>
        <w:t>ordre</w:t>
      </w:r>
      <w:r w:rsidR="00912152" w:rsidRPr="007F3E67">
        <w:rPr>
          <w:lang w:val="fr-FR"/>
        </w:rPr>
        <w:t xml:space="preserve"> à des peines d</w:t>
      </w:r>
      <w:r w:rsidR="007F3E67" w:rsidRPr="007F3E67">
        <w:rPr>
          <w:lang w:val="fr-FR"/>
        </w:rPr>
        <w:t>’</w:t>
      </w:r>
      <w:r w:rsidR="00912152" w:rsidRPr="007F3E67">
        <w:rPr>
          <w:lang w:val="fr-FR"/>
        </w:rPr>
        <w:t xml:space="preserve">emprisonnement allant </w:t>
      </w:r>
      <w:r w:rsidR="00AC01AA" w:rsidRPr="007F3E67">
        <w:rPr>
          <w:lang w:val="fr-FR"/>
        </w:rPr>
        <w:t>d</w:t>
      </w:r>
      <w:r w:rsidR="007F3E67" w:rsidRPr="007F3E67">
        <w:rPr>
          <w:lang w:val="fr-FR"/>
        </w:rPr>
        <w:t>’</w:t>
      </w:r>
      <w:r w:rsidR="003E0F56" w:rsidRPr="007F3E67">
        <w:rPr>
          <w:lang w:val="fr-FR"/>
        </w:rPr>
        <w:t>un an pour abus d</w:t>
      </w:r>
      <w:r w:rsidR="007F3E67" w:rsidRPr="007F3E67">
        <w:rPr>
          <w:lang w:val="fr-FR"/>
        </w:rPr>
        <w:t>’</w:t>
      </w:r>
      <w:r w:rsidR="003E0F56" w:rsidRPr="007F3E67">
        <w:rPr>
          <w:lang w:val="fr-FR"/>
        </w:rPr>
        <w:t xml:space="preserve">autorité publique (les trois agents condamnés ayant renoncé </w:t>
      </w:r>
      <w:r w:rsidR="00912152" w:rsidRPr="007F3E67">
        <w:rPr>
          <w:lang w:val="fr-FR"/>
        </w:rPr>
        <w:t>à la prescription</w:t>
      </w:r>
      <w:r w:rsidR="00AC01AA" w:rsidRPr="007F3E67">
        <w:rPr>
          <w:lang w:val="fr-FR"/>
        </w:rPr>
        <w:t>) à trois ans et deux mois pour le délit de lésions corporelles (</w:t>
      </w:r>
      <w:r w:rsidR="00882C0B" w:rsidRPr="007F3E67">
        <w:rPr>
          <w:lang w:val="fr-FR"/>
        </w:rPr>
        <w:t xml:space="preserve">puis </w:t>
      </w:r>
      <w:r w:rsidR="00AC01AA" w:rsidRPr="007F3E67">
        <w:rPr>
          <w:lang w:val="fr-FR"/>
        </w:rPr>
        <w:t>réduite de trois ans en application de la loi n</w:t>
      </w:r>
      <w:r w:rsidR="00301040" w:rsidRPr="007F3E67">
        <w:rPr>
          <w:vertAlign w:val="superscript"/>
          <w:lang w:val="fr-FR"/>
        </w:rPr>
        <w:t>o</w:t>
      </w:r>
      <w:r w:rsidR="00AC01AA" w:rsidRPr="007F3E67">
        <w:rPr>
          <w:lang w:val="fr-FR"/>
        </w:rPr>
        <w:t xml:space="preserve"> 241/06). </w:t>
      </w:r>
      <w:r w:rsidR="00B43294" w:rsidRPr="007F3E67">
        <w:rPr>
          <w:lang w:val="fr-FR"/>
        </w:rPr>
        <w:t>La Cour constate que t</w:t>
      </w:r>
      <w:r w:rsidR="00912152" w:rsidRPr="007F3E67">
        <w:rPr>
          <w:lang w:val="fr-FR"/>
        </w:rPr>
        <w:t>ous les condamnés ont bénéficié</w:t>
      </w:r>
      <w:r w:rsidR="003E0F56" w:rsidRPr="007F3E67">
        <w:rPr>
          <w:lang w:val="fr-FR"/>
        </w:rPr>
        <w:t xml:space="preserve"> soit de la remise de peine, soit</w:t>
      </w:r>
      <w:r w:rsidR="00912152" w:rsidRPr="007F3E67">
        <w:rPr>
          <w:lang w:val="fr-FR"/>
        </w:rPr>
        <w:t xml:space="preserve"> d</w:t>
      </w:r>
      <w:r w:rsidR="003E0F56" w:rsidRPr="007F3E67">
        <w:rPr>
          <w:lang w:val="fr-FR"/>
        </w:rPr>
        <w:t>u sursis à l</w:t>
      </w:r>
      <w:r w:rsidR="007F3E67" w:rsidRPr="007F3E67">
        <w:rPr>
          <w:lang w:val="fr-FR"/>
        </w:rPr>
        <w:t>’</w:t>
      </w:r>
      <w:r w:rsidR="003E0F56" w:rsidRPr="007F3E67">
        <w:rPr>
          <w:lang w:val="fr-FR"/>
        </w:rPr>
        <w:t xml:space="preserve">exécution </w:t>
      </w:r>
      <w:r w:rsidR="004915DF" w:rsidRPr="007F3E67">
        <w:rPr>
          <w:lang w:val="fr-FR"/>
        </w:rPr>
        <w:t>et</w:t>
      </w:r>
      <w:r w:rsidR="003E0F56" w:rsidRPr="007F3E67">
        <w:rPr>
          <w:lang w:val="fr-FR"/>
        </w:rPr>
        <w:t xml:space="preserve"> de la non</w:t>
      </w:r>
      <w:r w:rsidR="004321D9" w:rsidRPr="007F3E67">
        <w:rPr>
          <w:lang w:val="fr-FR"/>
        </w:rPr>
        <w:t>-</w:t>
      </w:r>
      <w:r w:rsidR="003E0F56" w:rsidRPr="007F3E67">
        <w:rPr>
          <w:lang w:val="fr-FR"/>
        </w:rPr>
        <w:t xml:space="preserve">inscription </w:t>
      </w:r>
      <w:r w:rsidR="00912152" w:rsidRPr="007F3E67">
        <w:rPr>
          <w:lang w:val="fr-FR"/>
        </w:rPr>
        <w:t xml:space="preserve">de la condamnation </w:t>
      </w:r>
      <w:r w:rsidR="00F0487A" w:rsidRPr="007F3E67">
        <w:rPr>
          <w:lang w:val="fr-FR"/>
        </w:rPr>
        <w:t>au</w:t>
      </w:r>
      <w:r w:rsidR="00912152" w:rsidRPr="007F3E67">
        <w:rPr>
          <w:lang w:val="fr-FR"/>
        </w:rPr>
        <w:t xml:space="preserve"> c</w:t>
      </w:r>
      <w:r w:rsidR="003E0F56" w:rsidRPr="007F3E67">
        <w:rPr>
          <w:lang w:val="fr-FR"/>
        </w:rPr>
        <w:t>asier judiciaire</w:t>
      </w:r>
      <w:r w:rsidR="00912152" w:rsidRPr="007F3E67">
        <w:rPr>
          <w:lang w:val="fr-FR"/>
        </w:rPr>
        <w:t>.</w:t>
      </w:r>
      <w:r w:rsidR="003E0F56" w:rsidRPr="007F3E67">
        <w:rPr>
          <w:lang w:val="fr-FR"/>
        </w:rPr>
        <w:t xml:space="preserve"> </w:t>
      </w:r>
      <w:r w:rsidR="00B43294" w:rsidRPr="007F3E67">
        <w:rPr>
          <w:lang w:val="fr-FR"/>
        </w:rPr>
        <w:t>Elle</w:t>
      </w:r>
      <w:r w:rsidR="003E0F56" w:rsidRPr="007F3E67">
        <w:rPr>
          <w:lang w:val="fr-FR"/>
        </w:rPr>
        <w:t xml:space="preserve"> remarque qu</w:t>
      </w:r>
      <w:r w:rsidR="00B43294" w:rsidRPr="007F3E67">
        <w:rPr>
          <w:lang w:val="fr-FR"/>
        </w:rPr>
        <w:t xml:space="preserve">e, </w:t>
      </w:r>
      <w:r w:rsidR="003E0F56" w:rsidRPr="007F3E67">
        <w:rPr>
          <w:lang w:val="fr-FR"/>
        </w:rPr>
        <w:t>en pratique</w:t>
      </w:r>
      <w:r w:rsidR="00B43294" w:rsidRPr="007F3E67">
        <w:rPr>
          <w:lang w:val="fr-FR"/>
        </w:rPr>
        <w:t>,</w:t>
      </w:r>
      <w:r w:rsidR="003E0F56" w:rsidRPr="007F3E67">
        <w:rPr>
          <w:lang w:val="fr-FR"/>
        </w:rPr>
        <w:t xml:space="preserve"> personne n</w:t>
      </w:r>
      <w:r w:rsidR="007F3E67" w:rsidRPr="007F3E67">
        <w:rPr>
          <w:lang w:val="fr-FR"/>
        </w:rPr>
        <w:t>’</w:t>
      </w:r>
      <w:r w:rsidR="003E0F56" w:rsidRPr="007F3E67">
        <w:rPr>
          <w:lang w:val="fr-FR"/>
        </w:rPr>
        <w:t xml:space="preserve">a passé </w:t>
      </w:r>
      <w:r w:rsidR="00485119" w:rsidRPr="007F3E67">
        <w:rPr>
          <w:lang w:val="fr-FR"/>
        </w:rPr>
        <w:t xml:space="preserve">un seul jour en prison pour les traitements </w:t>
      </w:r>
      <w:r w:rsidR="00E610DF" w:rsidRPr="007F3E67">
        <w:rPr>
          <w:lang w:val="fr-FR"/>
        </w:rPr>
        <w:t>infligés aux requérants</w:t>
      </w:r>
      <w:r w:rsidR="00485119" w:rsidRPr="007F3E67">
        <w:rPr>
          <w:lang w:val="fr-FR"/>
        </w:rPr>
        <w:t>.</w:t>
      </w:r>
    </w:p>
    <w:p w:rsidR="00485119" w:rsidRPr="007F3E67" w:rsidRDefault="00485119" w:rsidP="007F3E67">
      <w:pPr>
        <w:pStyle w:val="ECHRPara"/>
        <w:rPr>
          <w:szCs w:val="24"/>
          <w:lang w:val="fr-FR"/>
        </w:rPr>
      </w:pPr>
      <w:r w:rsidRPr="007F3E67">
        <w:rPr>
          <w:lang w:val="fr-FR"/>
        </w:rPr>
        <w:fldChar w:fldCharType="begin"/>
      </w:r>
      <w:r w:rsidRPr="007F3E67">
        <w:rPr>
          <w:lang w:val="fr-FR"/>
        </w:rPr>
        <w:instrText xml:space="preserve"> SEQ level0 \*arabic </w:instrText>
      </w:r>
      <w:r w:rsidRPr="007F3E67">
        <w:rPr>
          <w:lang w:val="fr-FR"/>
        </w:rPr>
        <w:fldChar w:fldCharType="separate"/>
      </w:r>
      <w:r w:rsidR="007F3E67" w:rsidRPr="007F3E67">
        <w:rPr>
          <w:noProof/>
          <w:lang w:val="fr-FR"/>
        </w:rPr>
        <w:t>154</w:t>
      </w:r>
      <w:r w:rsidRPr="007F3E67">
        <w:rPr>
          <w:lang w:val="fr-FR"/>
        </w:rPr>
        <w:fldChar w:fldCharType="end"/>
      </w:r>
      <w:r w:rsidRPr="007F3E67">
        <w:rPr>
          <w:lang w:val="fr-FR"/>
        </w:rPr>
        <w:t>.  </w:t>
      </w:r>
      <w:r w:rsidR="00D74F1C" w:rsidRPr="007F3E67">
        <w:rPr>
          <w:lang w:val="fr-FR"/>
        </w:rPr>
        <w:t>E</w:t>
      </w:r>
      <w:r w:rsidRPr="007F3E67">
        <w:rPr>
          <w:lang w:val="fr-FR"/>
        </w:rPr>
        <w:t>n vertu de l</w:t>
      </w:r>
      <w:r w:rsidR="007F3E67" w:rsidRPr="007F3E67">
        <w:rPr>
          <w:lang w:val="fr-FR"/>
        </w:rPr>
        <w:t>’</w:t>
      </w:r>
      <w:r w:rsidRPr="007F3E67">
        <w:rPr>
          <w:lang w:val="fr-FR"/>
        </w:rPr>
        <w:t>article 19 de la Convention</w:t>
      </w:r>
      <w:r w:rsidR="00895D6A" w:rsidRPr="007F3E67">
        <w:rPr>
          <w:lang w:val="fr-FR"/>
        </w:rPr>
        <w:t xml:space="preserve"> et conformément au principe voulant que la Convention garantisse des droits non pas théoriques ou illusoires, mais concrets et effectifs, la Cour doit s</w:t>
      </w:r>
      <w:r w:rsidR="007F3E67" w:rsidRPr="007F3E67">
        <w:rPr>
          <w:lang w:val="fr-FR"/>
        </w:rPr>
        <w:t>’</w:t>
      </w:r>
      <w:r w:rsidR="00895D6A" w:rsidRPr="007F3E67">
        <w:rPr>
          <w:lang w:val="fr-FR"/>
        </w:rPr>
        <w:t>assurer que l</w:t>
      </w:r>
      <w:r w:rsidR="007F3E67" w:rsidRPr="007F3E67">
        <w:rPr>
          <w:lang w:val="fr-FR"/>
        </w:rPr>
        <w:t>’</w:t>
      </w:r>
      <w:r w:rsidR="00895D6A" w:rsidRPr="007F3E67">
        <w:rPr>
          <w:lang w:val="fr-FR"/>
        </w:rPr>
        <w:t>État s</w:t>
      </w:r>
      <w:r w:rsidR="007F3E67" w:rsidRPr="007F3E67">
        <w:rPr>
          <w:lang w:val="fr-FR"/>
        </w:rPr>
        <w:t>’</w:t>
      </w:r>
      <w:r w:rsidR="00895D6A" w:rsidRPr="007F3E67">
        <w:rPr>
          <w:lang w:val="fr-FR"/>
        </w:rPr>
        <w:t>acquitte comme il se doit de l</w:t>
      </w:r>
      <w:r w:rsidR="007F3E67" w:rsidRPr="007F3E67">
        <w:rPr>
          <w:lang w:val="fr-FR"/>
        </w:rPr>
        <w:t>’</w:t>
      </w:r>
      <w:r w:rsidR="00895D6A" w:rsidRPr="007F3E67">
        <w:rPr>
          <w:lang w:val="fr-FR"/>
        </w:rPr>
        <w:t>obligation qui lui est faite de protéger les droits des personnes relevant de sa juridiction, en particulier dans les cas où il existe une disproportion manifeste entre la gravité de l</w:t>
      </w:r>
      <w:r w:rsidR="007F3E67" w:rsidRPr="007F3E67">
        <w:rPr>
          <w:lang w:val="fr-FR"/>
        </w:rPr>
        <w:t>’</w:t>
      </w:r>
      <w:r w:rsidR="00895D6A" w:rsidRPr="007F3E67">
        <w:rPr>
          <w:lang w:val="fr-FR"/>
        </w:rPr>
        <w:t>acte et la sanction infligée. Sinon, le devoir qu</w:t>
      </w:r>
      <w:r w:rsidR="007F3E67" w:rsidRPr="007F3E67">
        <w:rPr>
          <w:lang w:val="fr-FR"/>
        </w:rPr>
        <w:t>’</w:t>
      </w:r>
      <w:r w:rsidR="00895D6A" w:rsidRPr="007F3E67">
        <w:rPr>
          <w:lang w:val="fr-FR"/>
        </w:rPr>
        <w:t>ont les États de mener une enquête effective perdrait beaucoup de son sens</w:t>
      </w:r>
      <w:r w:rsidR="00A86344" w:rsidRPr="007F3E67">
        <w:rPr>
          <w:lang w:val="fr-FR"/>
        </w:rPr>
        <w:t>.</w:t>
      </w:r>
    </w:p>
    <w:p w:rsidR="00455811" w:rsidRPr="007F3E67" w:rsidRDefault="00455811" w:rsidP="007F3E67">
      <w:pPr>
        <w:pStyle w:val="ECHRPara"/>
        <w:rPr>
          <w:snapToGrid w:val="0"/>
          <w:lang w:val="fr-FR"/>
        </w:rPr>
      </w:pPr>
      <w:r w:rsidRPr="007F3E67">
        <w:rPr>
          <w:lang w:val="fr-FR"/>
        </w:rPr>
        <w:fldChar w:fldCharType="begin"/>
      </w:r>
      <w:r w:rsidRPr="007F3E67">
        <w:rPr>
          <w:lang w:val="fr-FR"/>
        </w:rPr>
        <w:instrText xml:space="preserve"> SEQ level0 \*arabic </w:instrText>
      </w:r>
      <w:r w:rsidRPr="007F3E67">
        <w:rPr>
          <w:lang w:val="fr-FR"/>
        </w:rPr>
        <w:fldChar w:fldCharType="separate"/>
      </w:r>
      <w:r w:rsidR="007F3E67" w:rsidRPr="007F3E67">
        <w:rPr>
          <w:noProof/>
          <w:lang w:val="fr-FR"/>
        </w:rPr>
        <w:t>155</w:t>
      </w:r>
      <w:r w:rsidRPr="007F3E67">
        <w:rPr>
          <w:lang w:val="fr-FR"/>
        </w:rPr>
        <w:fldChar w:fldCharType="end"/>
      </w:r>
      <w:r w:rsidRPr="007F3E67">
        <w:rPr>
          <w:lang w:val="fr-FR"/>
        </w:rPr>
        <w:t xml:space="preserve">.  Partant, </w:t>
      </w:r>
      <w:r w:rsidR="00B43294" w:rsidRPr="007F3E67">
        <w:rPr>
          <w:lang w:val="fr-FR"/>
        </w:rPr>
        <w:t xml:space="preserve">elle </w:t>
      </w:r>
      <w:r w:rsidRPr="007F3E67">
        <w:rPr>
          <w:lang w:val="fr-FR"/>
        </w:rPr>
        <w:t>ne peut que relever que, malgré l</w:t>
      </w:r>
      <w:r w:rsidR="007F3E67" w:rsidRPr="007F3E67">
        <w:rPr>
          <w:lang w:val="fr-FR"/>
        </w:rPr>
        <w:t>’</w:t>
      </w:r>
      <w:r w:rsidRPr="007F3E67">
        <w:rPr>
          <w:lang w:val="fr-FR"/>
        </w:rPr>
        <w:t xml:space="preserve">établissement des faits les plus graves par les juridictions internes, la prescription a empêché le constat de la responsabilité pénale de leurs auteurs. </w:t>
      </w:r>
      <w:r w:rsidRPr="007F3E67">
        <w:rPr>
          <w:snapToGrid w:val="0"/>
          <w:lang w:val="fr-FR"/>
        </w:rPr>
        <w:t xml:space="preserve">Elle </w:t>
      </w:r>
      <w:r w:rsidR="007A68DE" w:rsidRPr="007F3E67">
        <w:rPr>
          <w:snapToGrid w:val="0"/>
          <w:lang w:val="fr-FR"/>
        </w:rPr>
        <w:t>remarque</w:t>
      </w:r>
      <w:r w:rsidRPr="007F3E67">
        <w:rPr>
          <w:snapToGrid w:val="0"/>
          <w:lang w:val="fr-FR"/>
        </w:rPr>
        <w:t xml:space="preserve"> aussi qu</w:t>
      </w:r>
      <w:r w:rsidR="00CE2F71" w:rsidRPr="007F3E67">
        <w:rPr>
          <w:snapToGrid w:val="0"/>
          <w:lang w:val="fr-FR"/>
        </w:rPr>
        <w:t xml:space="preserve">e, </w:t>
      </w:r>
      <w:r w:rsidRPr="007F3E67">
        <w:rPr>
          <w:snapToGrid w:val="0"/>
          <w:lang w:val="fr-FR"/>
        </w:rPr>
        <w:t>en application de la loi n</w:t>
      </w:r>
      <w:r w:rsidR="00301040" w:rsidRPr="007F3E67">
        <w:rPr>
          <w:snapToGrid w:val="0"/>
          <w:vertAlign w:val="superscript"/>
          <w:lang w:val="fr-FR"/>
        </w:rPr>
        <w:t>o</w:t>
      </w:r>
      <w:r w:rsidRPr="007F3E67">
        <w:rPr>
          <w:snapToGrid w:val="0"/>
          <w:lang w:val="fr-FR"/>
        </w:rPr>
        <w:t xml:space="preserve"> 241 du 29 juillet 2006 </w:t>
      </w:r>
      <w:r w:rsidR="00A13CCB" w:rsidRPr="007F3E67">
        <w:rPr>
          <w:snapToGrid w:val="0"/>
          <w:lang w:val="fr-FR"/>
        </w:rPr>
        <w:t>relative aux conditions d</w:t>
      </w:r>
      <w:r w:rsidR="007F3E67" w:rsidRPr="007F3E67">
        <w:rPr>
          <w:snapToGrid w:val="0"/>
          <w:lang w:val="fr-FR"/>
        </w:rPr>
        <w:t>’</w:t>
      </w:r>
      <w:r w:rsidRPr="007F3E67">
        <w:rPr>
          <w:snapToGrid w:val="0"/>
          <w:lang w:val="fr-FR"/>
        </w:rPr>
        <w:t>octroi d</w:t>
      </w:r>
      <w:r w:rsidR="009C7511" w:rsidRPr="007F3E67">
        <w:rPr>
          <w:snapToGrid w:val="0"/>
          <w:lang w:val="fr-FR"/>
        </w:rPr>
        <w:t>e la</w:t>
      </w:r>
      <w:r w:rsidRPr="007F3E67">
        <w:rPr>
          <w:snapToGrid w:val="0"/>
          <w:lang w:val="fr-FR"/>
        </w:rPr>
        <w:t xml:space="preserve"> remise générale de peine (</w:t>
      </w:r>
      <w:r w:rsidRPr="007F3E67">
        <w:rPr>
          <w:i/>
          <w:snapToGrid w:val="0"/>
          <w:lang w:val="fr-FR"/>
        </w:rPr>
        <w:t>indulto</w:t>
      </w:r>
      <w:r w:rsidRPr="007F3E67">
        <w:rPr>
          <w:snapToGrid w:val="0"/>
          <w:lang w:val="fr-FR"/>
        </w:rPr>
        <w:t xml:space="preserve">), les peines prononcées pour les autres délits ont été réduites de trois </w:t>
      </w:r>
      <w:r w:rsidR="006B7016" w:rsidRPr="007F3E67">
        <w:rPr>
          <w:snapToGrid w:val="0"/>
          <w:lang w:val="fr-FR"/>
        </w:rPr>
        <w:t xml:space="preserve">ans (paragraphe </w:t>
      </w:r>
      <w:r w:rsidR="006B7016" w:rsidRPr="007F3E67">
        <w:rPr>
          <w:snapToGrid w:val="0"/>
          <w:lang w:val="fr-FR"/>
        </w:rPr>
        <w:fldChar w:fldCharType="begin"/>
      </w:r>
      <w:r w:rsidR="006B7016" w:rsidRPr="007F3E67">
        <w:rPr>
          <w:snapToGrid w:val="0"/>
          <w:lang w:val="fr-FR"/>
        </w:rPr>
        <w:instrText xml:space="preserve"> REF REMISE_PEINE \h </w:instrText>
      </w:r>
      <w:r w:rsidR="007E235C" w:rsidRPr="007F3E67">
        <w:rPr>
          <w:snapToGrid w:val="0"/>
          <w:lang w:val="fr-FR"/>
        </w:rPr>
        <w:instrText xml:space="preserve"> \* MERGEFORMAT </w:instrText>
      </w:r>
      <w:r w:rsidR="006B7016" w:rsidRPr="007F3E67">
        <w:rPr>
          <w:snapToGrid w:val="0"/>
          <w:lang w:val="fr-FR"/>
        </w:rPr>
      </w:r>
      <w:r w:rsidR="006B7016" w:rsidRPr="007F3E67">
        <w:rPr>
          <w:snapToGrid w:val="0"/>
          <w:lang w:val="fr-FR"/>
        </w:rPr>
        <w:fldChar w:fldCharType="separate"/>
      </w:r>
      <w:r w:rsidR="007F3E67" w:rsidRPr="007F3E67">
        <w:rPr>
          <w:noProof/>
          <w:szCs w:val="24"/>
          <w:lang w:val="fr-FR"/>
        </w:rPr>
        <w:t>58</w:t>
      </w:r>
      <w:r w:rsidR="006B7016" w:rsidRPr="007F3E67">
        <w:rPr>
          <w:snapToGrid w:val="0"/>
          <w:lang w:val="fr-FR"/>
        </w:rPr>
        <w:fldChar w:fldCharType="end"/>
      </w:r>
      <w:r w:rsidR="006B7016" w:rsidRPr="007F3E67">
        <w:rPr>
          <w:snapToGrid w:val="0"/>
          <w:lang w:val="fr-FR"/>
        </w:rPr>
        <w:t xml:space="preserve"> </w:t>
      </w:r>
      <w:r w:rsidRPr="007F3E67">
        <w:rPr>
          <w:snapToGrid w:val="0"/>
          <w:lang w:val="fr-FR"/>
        </w:rPr>
        <w:t>ci-dessus).</w:t>
      </w:r>
    </w:p>
    <w:p w:rsidR="00455811" w:rsidRPr="007F3E67" w:rsidRDefault="00455811" w:rsidP="007F3E67">
      <w:pPr>
        <w:pStyle w:val="ECHRPara"/>
        <w:rPr>
          <w:i/>
          <w:lang w:val="fr-FR"/>
        </w:rPr>
      </w:pPr>
      <w:r w:rsidRPr="007F3E67">
        <w:rPr>
          <w:snapToGrid w:val="0"/>
          <w:lang w:val="fr-FR"/>
        </w:rPr>
        <w:fldChar w:fldCharType="begin"/>
      </w:r>
      <w:r w:rsidRPr="007F3E67">
        <w:rPr>
          <w:snapToGrid w:val="0"/>
          <w:lang w:val="fr-FR"/>
        </w:rPr>
        <w:instrText xml:space="preserve"> SEQ level0 \*arabic </w:instrText>
      </w:r>
      <w:r w:rsidRPr="007F3E67">
        <w:rPr>
          <w:snapToGrid w:val="0"/>
          <w:lang w:val="fr-FR"/>
        </w:rPr>
        <w:fldChar w:fldCharType="separate"/>
      </w:r>
      <w:r w:rsidR="007F3E67" w:rsidRPr="007F3E67">
        <w:rPr>
          <w:noProof/>
          <w:snapToGrid w:val="0"/>
          <w:lang w:val="fr-FR"/>
        </w:rPr>
        <w:t>156</w:t>
      </w:r>
      <w:r w:rsidRPr="007F3E67">
        <w:rPr>
          <w:snapToGrid w:val="0"/>
          <w:lang w:val="fr-FR"/>
        </w:rPr>
        <w:fldChar w:fldCharType="end"/>
      </w:r>
      <w:r w:rsidRPr="007F3E67">
        <w:rPr>
          <w:snapToGrid w:val="0"/>
          <w:lang w:val="fr-FR"/>
        </w:rPr>
        <w:t>.  </w:t>
      </w:r>
      <w:r w:rsidR="00CE2F71" w:rsidRPr="007F3E67">
        <w:rPr>
          <w:snapToGrid w:val="0"/>
          <w:lang w:val="fr-FR"/>
        </w:rPr>
        <w:t>Elle</w:t>
      </w:r>
      <w:r w:rsidRPr="007F3E67">
        <w:rPr>
          <w:lang w:val="fr-FR"/>
        </w:rPr>
        <w:t xml:space="preserve"> </w:t>
      </w:r>
      <w:r w:rsidR="00D74F1C" w:rsidRPr="007F3E67">
        <w:rPr>
          <w:lang w:val="fr-FR"/>
        </w:rPr>
        <w:t>rappelle</w:t>
      </w:r>
      <w:r w:rsidR="00CE2F71" w:rsidRPr="007F3E67">
        <w:rPr>
          <w:lang w:val="fr-FR"/>
        </w:rPr>
        <w:t xml:space="preserve"> </w:t>
      </w:r>
      <w:r w:rsidRPr="007F3E67">
        <w:rPr>
          <w:lang w:val="fr-FR"/>
        </w:rPr>
        <w:t>que, parmi les éléments qui caractérisent une enquête effective sur le terrain de l</w:t>
      </w:r>
      <w:r w:rsidR="007F3E67" w:rsidRPr="007F3E67">
        <w:rPr>
          <w:lang w:val="fr-FR"/>
        </w:rPr>
        <w:t>’</w:t>
      </w:r>
      <w:r w:rsidRPr="007F3E67">
        <w:rPr>
          <w:lang w:val="fr-FR"/>
        </w:rPr>
        <w:t>article 3 de la Convention, le fait que les poursuites judiciaires ne souffrent d</w:t>
      </w:r>
      <w:r w:rsidR="007F3E67" w:rsidRPr="007F3E67">
        <w:rPr>
          <w:lang w:val="fr-FR"/>
        </w:rPr>
        <w:t>’</w:t>
      </w:r>
      <w:r w:rsidRPr="007F3E67">
        <w:rPr>
          <w:lang w:val="fr-FR"/>
        </w:rPr>
        <w:t xml:space="preserve">aucun délai de prescription est primordial. Elle </w:t>
      </w:r>
      <w:r w:rsidR="00CE2F71" w:rsidRPr="007F3E67">
        <w:rPr>
          <w:lang w:val="fr-FR"/>
        </w:rPr>
        <w:t xml:space="preserve">indique </w:t>
      </w:r>
      <w:r w:rsidRPr="007F3E67">
        <w:rPr>
          <w:lang w:val="fr-FR"/>
        </w:rPr>
        <w:t xml:space="preserve">également avoir </w:t>
      </w:r>
      <w:r w:rsidR="00CE2F71" w:rsidRPr="007F3E67">
        <w:rPr>
          <w:lang w:val="fr-FR"/>
        </w:rPr>
        <w:t xml:space="preserve">déjà </w:t>
      </w:r>
      <w:r w:rsidRPr="007F3E67">
        <w:rPr>
          <w:lang w:val="fr-FR"/>
        </w:rPr>
        <w:t>jugé que l</w:t>
      </w:r>
      <w:r w:rsidR="007F3E67" w:rsidRPr="007F3E67">
        <w:rPr>
          <w:lang w:val="fr-FR"/>
        </w:rPr>
        <w:t>’</w:t>
      </w:r>
      <w:r w:rsidRPr="007F3E67">
        <w:rPr>
          <w:lang w:val="fr-FR"/>
        </w:rPr>
        <w:t>octroi d</w:t>
      </w:r>
      <w:r w:rsidR="007F3E67" w:rsidRPr="007F3E67">
        <w:rPr>
          <w:lang w:val="fr-FR"/>
        </w:rPr>
        <w:t>’</w:t>
      </w:r>
      <w:r w:rsidRPr="007F3E67">
        <w:rPr>
          <w:lang w:val="fr-FR"/>
        </w:rPr>
        <w:t>une amnistie ou d</w:t>
      </w:r>
      <w:r w:rsidR="007F3E67" w:rsidRPr="007F3E67">
        <w:rPr>
          <w:lang w:val="fr-FR"/>
        </w:rPr>
        <w:t>’</w:t>
      </w:r>
      <w:r w:rsidRPr="007F3E67">
        <w:rPr>
          <w:lang w:val="fr-FR"/>
        </w:rPr>
        <w:t>un pardon ne devrait pas être toléré en matière de torture ou de mauvais traitements infligés par des agents de l</w:t>
      </w:r>
      <w:r w:rsidR="007F3E67" w:rsidRPr="007F3E67">
        <w:rPr>
          <w:lang w:val="fr-FR"/>
        </w:rPr>
        <w:t>’</w:t>
      </w:r>
      <w:r w:rsidRPr="007F3E67">
        <w:rPr>
          <w:lang w:val="fr-FR"/>
        </w:rPr>
        <w:t>État (</w:t>
      </w:r>
      <w:r w:rsidRPr="007F3E67">
        <w:rPr>
          <w:i/>
          <w:szCs w:val="24"/>
          <w:lang w:val="fr-FR"/>
        </w:rPr>
        <w:t>Abdülsamet Yaman</w:t>
      </w:r>
      <w:r w:rsidR="00AF3BFD" w:rsidRPr="007F3E67">
        <w:rPr>
          <w:szCs w:val="24"/>
          <w:lang w:val="fr-FR"/>
        </w:rPr>
        <w:t>,</w:t>
      </w:r>
      <w:r w:rsidR="00AF3BFD" w:rsidRPr="007F3E67">
        <w:rPr>
          <w:i/>
          <w:szCs w:val="24"/>
          <w:lang w:val="fr-FR"/>
        </w:rPr>
        <w:t xml:space="preserve"> </w:t>
      </w:r>
      <w:r w:rsidR="00AF3BFD" w:rsidRPr="007F3E67">
        <w:rPr>
          <w:szCs w:val="24"/>
          <w:lang w:val="fr-FR"/>
        </w:rPr>
        <w:t>précité,</w:t>
      </w:r>
      <w:r w:rsidRPr="007F3E67">
        <w:rPr>
          <w:szCs w:val="24"/>
          <w:lang w:val="fr-FR"/>
        </w:rPr>
        <w:t xml:space="preserve"> § 55</w:t>
      </w:r>
      <w:r w:rsidR="00AF3BFD" w:rsidRPr="007F3E67">
        <w:rPr>
          <w:szCs w:val="24"/>
          <w:lang w:val="fr-FR"/>
        </w:rPr>
        <w:t>,</w:t>
      </w:r>
      <w:r w:rsidRPr="007F3E67">
        <w:rPr>
          <w:szCs w:val="24"/>
          <w:lang w:val="fr-FR"/>
        </w:rPr>
        <w:t xml:space="preserve"> et </w:t>
      </w:r>
      <w:r w:rsidR="00160E44" w:rsidRPr="007F3E67">
        <w:rPr>
          <w:i/>
          <w:lang w:val="fr-FR"/>
        </w:rPr>
        <w:t xml:space="preserve">Mocanu et autres c. Roumanie </w:t>
      </w:r>
      <w:r w:rsidR="00160E44" w:rsidRPr="007F3E67">
        <w:rPr>
          <w:snapToGrid w:val="0"/>
          <w:lang w:val="fr-FR"/>
        </w:rPr>
        <w:t>[GC], n</w:t>
      </w:r>
      <w:r w:rsidR="00160E44" w:rsidRPr="007F3E67">
        <w:rPr>
          <w:rFonts w:cs="Times New Roman"/>
          <w:vertAlign w:val="superscript"/>
          <w:lang w:val="fr-FR"/>
        </w:rPr>
        <w:t>os</w:t>
      </w:r>
      <w:r w:rsidR="00160E44" w:rsidRPr="007F3E67">
        <w:rPr>
          <w:snapToGrid w:val="0"/>
          <w:lang w:val="fr-FR"/>
        </w:rPr>
        <w:t xml:space="preserve"> 10865/09</w:t>
      </w:r>
      <w:r w:rsidR="007F3E67" w:rsidRPr="007F3E67">
        <w:rPr>
          <w:lang w:val="fr-FR"/>
        </w:rPr>
        <w:t xml:space="preserve"> et </w:t>
      </w:r>
      <w:r w:rsidR="00160E44" w:rsidRPr="007F3E67">
        <w:rPr>
          <w:lang w:val="fr-FR"/>
        </w:rPr>
        <w:t>2</w:t>
      </w:r>
      <w:r w:rsidR="00F0487A" w:rsidRPr="007F3E67">
        <w:rPr>
          <w:lang w:val="fr-FR"/>
        </w:rPr>
        <w:t> </w:t>
      </w:r>
      <w:r w:rsidR="00160E44" w:rsidRPr="007F3E67">
        <w:rPr>
          <w:lang w:val="fr-FR"/>
        </w:rPr>
        <w:t>autres, § 326, CEDH 2014 (extraits))</w:t>
      </w:r>
      <w:r w:rsidRPr="007F3E67">
        <w:rPr>
          <w:lang w:val="fr-FR"/>
        </w:rPr>
        <w:t>.</w:t>
      </w:r>
    </w:p>
    <w:p w:rsidR="009C7511" w:rsidRPr="007F3E67" w:rsidRDefault="00455811" w:rsidP="007F3E67">
      <w:pPr>
        <w:pStyle w:val="ECHRPara"/>
        <w:rPr>
          <w:lang w:val="fr-FR"/>
        </w:rPr>
      </w:pPr>
      <w:r w:rsidRPr="007F3E67">
        <w:rPr>
          <w:lang w:val="fr-FR"/>
        </w:rPr>
        <w:fldChar w:fldCharType="begin"/>
      </w:r>
      <w:r w:rsidRPr="007F3E67">
        <w:rPr>
          <w:lang w:val="fr-FR"/>
        </w:rPr>
        <w:instrText xml:space="preserve"> SEQ level0 \*arabic </w:instrText>
      </w:r>
      <w:r w:rsidRPr="007F3E67">
        <w:rPr>
          <w:lang w:val="fr-FR"/>
        </w:rPr>
        <w:fldChar w:fldCharType="separate"/>
      </w:r>
      <w:r w:rsidR="007F3E67" w:rsidRPr="007F3E67">
        <w:rPr>
          <w:noProof/>
          <w:lang w:val="fr-FR"/>
        </w:rPr>
        <w:t>157</w:t>
      </w:r>
      <w:r w:rsidRPr="007F3E67">
        <w:rPr>
          <w:lang w:val="fr-FR"/>
        </w:rPr>
        <w:fldChar w:fldCharType="end"/>
      </w:r>
      <w:r w:rsidRPr="007F3E67">
        <w:rPr>
          <w:lang w:val="fr-FR"/>
        </w:rPr>
        <w:t>.  </w:t>
      </w:r>
      <w:r w:rsidR="00CE2F71" w:rsidRPr="007F3E67">
        <w:rPr>
          <w:lang w:val="fr-FR"/>
        </w:rPr>
        <w:t xml:space="preserve">Comme </w:t>
      </w:r>
      <w:r w:rsidRPr="007F3E67">
        <w:rPr>
          <w:lang w:val="fr-FR"/>
        </w:rPr>
        <w:t>elle l</w:t>
      </w:r>
      <w:r w:rsidR="007F3E67" w:rsidRPr="007F3E67">
        <w:rPr>
          <w:lang w:val="fr-FR"/>
        </w:rPr>
        <w:t>’</w:t>
      </w:r>
      <w:r w:rsidRPr="007F3E67">
        <w:rPr>
          <w:lang w:val="fr-FR"/>
        </w:rPr>
        <w:t xml:space="preserve">a fait dans son arrêt </w:t>
      </w:r>
      <w:r w:rsidRPr="007F3E67">
        <w:rPr>
          <w:i/>
          <w:lang w:val="fr-FR"/>
        </w:rPr>
        <w:t xml:space="preserve">Cestaro </w:t>
      </w:r>
      <w:r w:rsidRPr="007F3E67">
        <w:rPr>
          <w:lang w:val="fr-FR"/>
        </w:rPr>
        <w:t xml:space="preserve">(précité, §§ 223 et 224), la Cour reconnaît que les juges nationaux ont dû diligenter </w:t>
      </w:r>
      <w:r w:rsidR="004E7096" w:rsidRPr="007F3E67">
        <w:rPr>
          <w:lang w:val="fr-FR"/>
        </w:rPr>
        <w:t xml:space="preserve">pour les faits relatifs à la caserne de </w:t>
      </w:r>
      <w:r w:rsidR="004E7096" w:rsidRPr="007F3E67">
        <w:rPr>
          <w:i/>
          <w:lang w:val="fr-FR"/>
        </w:rPr>
        <w:t>Bolzaneto</w:t>
      </w:r>
      <w:r w:rsidR="004E7096" w:rsidRPr="007F3E67">
        <w:rPr>
          <w:lang w:val="fr-FR"/>
        </w:rPr>
        <w:t xml:space="preserve"> </w:t>
      </w:r>
      <w:r w:rsidRPr="007F3E67">
        <w:rPr>
          <w:lang w:val="fr-FR"/>
        </w:rPr>
        <w:t xml:space="preserve">une procédure pénale complexe </w:t>
      </w:r>
      <w:r w:rsidR="00A13CCB" w:rsidRPr="007F3E67">
        <w:rPr>
          <w:lang w:val="fr-FR"/>
        </w:rPr>
        <w:t>liée à</w:t>
      </w:r>
      <w:r w:rsidRPr="007F3E67">
        <w:rPr>
          <w:lang w:val="fr-FR"/>
        </w:rPr>
        <w:t xml:space="preserve"> un épisode de violence policière unique dans l</w:t>
      </w:r>
      <w:r w:rsidR="007F3E67" w:rsidRPr="007F3E67">
        <w:rPr>
          <w:lang w:val="fr-FR"/>
        </w:rPr>
        <w:t>’</w:t>
      </w:r>
      <w:r w:rsidRPr="007F3E67">
        <w:rPr>
          <w:lang w:val="fr-FR"/>
        </w:rPr>
        <w:t>histoire de la République italienne. Elle ne saurait ignorer qu</w:t>
      </w:r>
      <w:r w:rsidR="007F3E67" w:rsidRPr="007F3E67">
        <w:rPr>
          <w:lang w:val="fr-FR"/>
        </w:rPr>
        <w:t>’</w:t>
      </w:r>
      <w:r w:rsidRPr="007F3E67">
        <w:rPr>
          <w:lang w:val="fr-FR"/>
        </w:rPr>
        <w:t>aux difficultés de la procédure à l</w:t>
      </w:r>
      <w:r w:rsidR="007F3E67" w:rsidRPr="007F3E67">
        <w:rPr>
          <w:lang w:val="fr-FR"/>
        </w:rPr>
        <w:t>’</w:t>
      </w:r>
      <w:r w:rsidRPr="007F3E67">
        <w:rPr>
          <w:lang w:val="fr-FR"/>
        </w:rPr>
        <w:t>égard de nombre de coaccusés et de parties civiles se sont ajoutés des obstacles liés au manque de coopération de la part de l</w:t>
      </w:r>
      <w:r w:rsidR="007F3E67" w:rsidRPr="007F3E67">
        <w:rPr>
          <w:lang w:val="fr-FR"/>
        </w:rPr>
        <w:t>’</w:t>
      </w:r>
      <w:r w:rsidRPr="007F3E67">
        <w:rPr>
          <w:lang w:val="fr-FR"/>
        </w:rPr>
        <w:t>administration de la police (paragraphe</w:t>
      </w:r>
      <w:r w:rsidR="009C7511" w:rsidRPr="007F3E67">
        <w:rPr>
          <w:lang w:val="fr-FR"/>
        </w:rPr>
        <w:t xml:space="preserve"> </w:t>
      </w:r>
      <w:r w:rsidR="009C7511" w:rsidRPr="007F3E67">
        <w:rPr>
          <w:lang w:val="fr-FR"/>
        </w:rPr>
        <w:fldChar w:fldCharType="begin"/>
      </w:r>
      <w:r w:rsidR="009C7511" w:rsidRPr="007F3E67">
        <w:rPr>
          <w:lang w:val="fr-FR"/>
        </w:rPr>
        <w:instrText xml:space="preserve"> REF DIFFICULTES_ENQUETE \h </w:instrText>
      </w:r>
      <w:r w:rsidR="007E235C" w:rsidRPr="007F3E67">
        <w:rPr>
          <w:lang w:val="fr-FR"/>
        </w:rPr>
        <w:instrText xml:space="preserve"> \* MERGEFORMAT </w:instrText>
      </w:r>
      <w:r w:rsidR="009C7511" w:rsidRPr="007F3E67">
        <w:rPr>
          <w:lang w:val="fr-FR"/>
        </w:rPr>
      </w:r>
      <w:r w:rsidR="009C7511" w:rsidRPr="007F3E67">
        <w:rPr>
          <w:lang w:val="fr-FR"/>
        </w:rPr>
        <w:fldChar w:fldCharType="separate"/>
      </w:r>
      <w:r w:rsidR="007F3E67" w:rsidRPr="007F3E67">
        <w:rPr>
          <w:rFonts w:ascii="Times New Roman" w:hAnsi="Times New Roman"/>
          <w:noProof/>
          <w:lang w:val="fr-FR"/>
        </w:rPr>
        <w:t>54</w:t>
      </w:r>
      <w:r w:rsidR="009C7511" w:rsidRPr="007F3E67">
        <w:rPr>
          <w:lang w:val="fr-FR"/>
        </w:rPr>
        <w:fldChar w:fldCharType="end"/>
      </w:r>
      <w:r w:rsidR="009C7511" w:rsidRPr="007F3E67">
        <w:rPr>
          <w:lang w:val="fr-FR"/>
        </w:rPr>
        <w:t xml:space="preserve"> </w:t>
      </w:r>
      <w:r w:rsidRPr="007F3E67">
        <w:rPr>
          <w:lang w:val="fr-FR"/>
        </w:rPr>
        <w:t>ci-dessus)</w:t>
      </w:r>
      <w:r w:rsidR="004E7096" w:rsidRPr="007F3E67">
        <w:rPr>
          <w:lang w:val="fr-FR"/>
        </w:rPr>
        <w:t>.</w:t>
      </w:r>
    </w:p>
    <w:p w:rsidR="00455811" w:rsidRPr="007F3E67" w:rsidRDefault="00455811" w:rsidP="007F3E67">
      <w:pPr>
        <w:pStyle w:val="ECHRPara"/>
        <w:rPr>
          <w:i/>
          <w:lang w:val="fr-FR"/>
        </w:rPr>
      </w:pPr>
      <w:r w:rsidRPr="007F3E67">
        <w:rPr>
          <w:lang w:val="fr-FR"/>
        </w:rPr>
        <w:fldChar w:fldCharType="begin"/>
      </w:r>
      <w:r w:rsidRPr="007F3E67">
        <w:rPr>
          <w:lang w:val="fr-FR"/>
        </w:rPr>
        <w:instrText xml:space="preserve"> SEQ level0 \*arabic </w:instrText>
      </w:r>
      <w:r w:rsidRPr="007F3E67">
        <w:rPr>
          <w:lang w:val="fr-FR"/>
        </w:rPr>
        <w:fldChar w:fldCharType="separate"/>
      </w:r>
      <w:r w:rsidR="007F3E67" w:rsidRPr="007F3E67">
        <w:rPr>
          <w:noProof/>
          <w:lang w:val="fr-FR"/>
        </w:rPr>
        <w:t>158</w:t>
      </w:r>
      <w:r w:rsidRPr="007F3E67">
        <w:rPr>
          <w:lang w:val="fr-FR"/>
        </w:rPr>
        <w:fldChar w:fldCharType="end"/>
      </w:r>
      <w:r w:rsidRPr="007F3E67">
        <w:rPr>
          <w:lang w:val="fr-FR"/>
        </w:rPr>
        <w:t>.  Contrairement à sa conclusion dans d</w:t>
      </w:r>
      <w:r w:rsidR="007F3E67" w:rsidRPr="007F3E67">
        <w:rPr>
          <w:lang w:val="fr-FR"/>
        </w:rPr>
        <w:t>’</w:t>
      </w:r>
      <w:r w:rsidRPr="007F3E67">
        <w:rPr>
          <w:lang w:val="fr-FR"/>
        </w:rPr>
        <w:t>autres affaires</w:t>
      </w:r>
      <w:r w:rsidR="00BC2FE7" w:rsidRPr="007F3E67">
        <w:rPr>
          <w:lang w:val="fr-FR"/>
        </w:rPr>
        <w:t>, la Cour considère qu</w:t>
      </w:r>
      <w:r w:rsidR="00A13CCB" w:rsidRPr="007F3E67">
        <w:rPr>
          <w:lang w:val="fr-FR"/>
        </w:rPr>
        <w:t xml:space="preserve">e, </w:t>
      </w:r>
      <w:r w:rsidR="00BC2FE7" w:rsidRPr="007F3E67">
        <w:rPr>
          <w:lang w:val="fr-FR"/>
        </w:rPr>
        <w:t>en l</w:t>
      </w:r>
      <w:r w:rsidR="007F3E67" w:rsidRPr="007F3E67">
        <w:rPr>
          <w:lang w:val="fr-FR"/>
        </w:rPr>
        <w:t>’</w:t>
      </w:r>
      <w:r w:rsidR="00BC2FE7" w:rsidRPr="007F3E67">
        <w:rPr>
          <w:lang w:val="fr-FR"/>
        </w:rPr>
        <w:t>espèce</w:t>
      </w:r>
      <w:r w:rsidR="00A13CCB" w:rsidRPr="007F3E67">
        <w:rPr>
          <w:lang w:val="fr-FR"/>
        </w:rPr>
        <w:t>,</w:t>
      </w:r>
      <w:r w:rsidRPr="007F3E67">
        <w:rPr>
          <w:lang w:val="fr-FR"/>
        </w:rPr>
        <w:t xml:space="preserve"> la durée de la procédure interne</w:t>
      </w:r>
      <w:r w:rsidR="0017142E" w:rsidRPr="007F3E67">
        <w:rPr>
          <w:lang w:val="fr-FR"/>
        </w:rPr>
        <w:t xml:space="preserve"> et</w:t>
      </w:r>
      <w:r w:rsidRPr="007F3E67">
        <w:rPr>
          <w:lang w:val="fr-FR"/>
        </w:rPr>
        <w:t xml:space="preserve"> le non-lieu prononcé pour cause de prescription de la plupart des délits ne sont pas imputables aux </w:t>
      </w:r>
      <w:r w:rsidR="00D24C70" w:rsidRPr="007F3E67">
        <w:rPr>
          <w:lang w:val="fr-FR"/>
        </w:rPr>
        <w:t xml:space="preserve">atermoiements ou à la négligence du parquet ou des </w:t>
      </w:r>
      <w:r w:rsidRPr="007F3E67">
        <w:rPr>
          <w:lang w:val="fr-FR"/>
        </w:rPr>
        <w:t>juges internes mais aux défaillances s</w:t>
      </w:r>
      <w:r w:rsidR="0017142E" w:rsidRPr="007F3E67">
        <w:rPr>
          <w:lang w:val="fr-FR"/>
        </w:rPr>
        <w:t>tructurelles</w:t>
      </w:r>
      <w:r w:rsidRPr="007F3E67">
        <w:rPr>
          <w:lang w:val="fr-FR"/>
        </w:rPr>
        <w:t xml:space="preserve"> de l</w:t>
      </w:r>
      <w:r w:rsidR="007F3E67" w:rsidRPr="007F3E67">
        <w:rPr>
          <w:lang w:val="fr-FR"/>
        </w:rPr>
        <w:t>’</w:t>
      </w:r>
      <w:r w:rsidRPr="007F3E67">
        <w:rPr>
          <w:lang w:val="fr-FR"/>
        </w:rPr>
        <w:t>ordre juridique italien</w:t>
      </w:r>
      <w:r w:rsidR="00CE2F71" w:rsidRPr="007F3E67">
        <w:rPr>
          <w:lang w:val="fr-FR"/>
        </w:rPr>
        <w:t xml:space="preserve"> (voir, parmi d</w:t>
      </w:r>
      <w:r w:rsidR="007F3E67" w:rsidRPr="007F3E67">
        <w:rPr>
          <w:lang w:val="fr-FR"/>
        </w:rPr>
        <w:t>’</w:t>
      </w:r>
      <w:r w:rsidR="00CE2F71" w:rsidRPr="007F3E67">
        <w:rPr>
          <w:lang w:val="fr-FR"/>
        </w:rPr>
        <w:t xml:space="preserve">autres, </w:t>
      </w:r>
      <w:r w:rsidR="00CE2F71" w:rsidRPr="007F3E67">
        <w:rPr>
          <w:i/>
          <w:lang w:val="fr-FR"/>
        </w:rPr>
        <w:t>Batı et autres c. Turquie</w:t>
      </w:r>
      <w:r w:rsidR="00CE2F71" w:rsidRPr="007F3E67">
        <w:rPr>
          <w:lang w:val="fr-FR"/>
        </w:rPr>
        <w:t>, n</w:t>
      </w:r>
      <w:r w:rsidR="00CE2F71" w:rsidRPr="007F3E67">
        <w:rPr>
          <w:rFonts w:ascii="Times New (W1)" w:hAnsi="Times New (W1)"/>
          <w:vertAlign w:val="superscript"/>
          <w:lang w:val="fr-FR"/>
        </w:rPr>
        <w:t>os</w:t>
      </w:r>
      <w:r w:rsidR="00CE2F71" w:rsidRPr="007F3E67">
        <w:rPr>
          <w:lang w:val="fr-FR"/>
        </w:rPr>
        <w:t> 33097/96 et 57834/00, §§ 142</w:t>
      </w:r>
      <w:r w:rsidR="009206B2" w:rsidRPr="007F3E67">
        <w:rPr>
          <w:lang w:val="fr-FR"/>
        </w:rPr>
        <w:noBreakHyphen/>
      </w:r>
      <w:r w:rsidR="00CE2F71" w:rsidRPr="007F3E67">
        <w:rPr>
          <w:lang w:val="fr-FR"/>
        </w:rPr>
        <w:t>147, CEDH 2004</w:t>
      </w:r>
      <w:r w:rsidR="00CE2F71" w:rsidRPr="007F3E67">
        <w:rPr>
          <w:lang w:val="fr-FR"/>
        </w:rPr>
        <w:noBreakHyphen/>
        <w:t xml:space="preserve">IV (extraits), et </w:t>
      </w:r>
      <w:r w:rsidR="00CE2F71" w:rsidRPr="007F3E67">
        <w:rPr>
          <w:i/>
          <w:lang w:val="fr-FR"/>
        </w:rPr>
        <w:t>Hüseyin Şimşek c. Turquie</w:t>
      </w:r>
      <w:r w:rsidR="00CE2F71" w:rsidRPr="007F3E67">
        <w:rPr>
          <w:lang w:val="fr-FR"/>
        </w:rPr>
        <w:t>, n</w:t>
      </w:r>
      <w:r w:rsidR="00CE2F71" w:rsidRPr="007F3E67">
        <w:rPr>
          <w:vertAlign w:val="superscript"/>
          <w:lang w:val="fr-FR"/>
        </w:rPr>
        <w:t>o</w:t>
      </w:r>
      <w:r w:rsidR="00CE2F71" w:rsidRPr="007F3E67">
        <w:rPr>
          <w:lang w:val="fr-FR"/>
        </w:rPr>
        <w:t> 68881/01, §§ 68-70, 20 mai 2008)</w:t>
      </w:r>
      <w:r w:rsidRPr="007F3E67">
        <w:rPr>
          <w:lang w:val="fr-FR"/>
        </w:rPr>
        <w:t>.</w:t>
      </w:r>
    </w:p>
    <w:p w:rsidR="00455811" w:rsidRPr="007F3E67" w:rsidRDefault="00455811" w:rsidP="007F3E67">
      <w:pPr>
        <w:pStyle w:val="ECHRPara"/>
        <w:rPr>
          <w:snapToGrid w:val="0"/>
          <w:lang w:val="fr-FR"/>
        </w:rPr>
      </w:pPr>
      <w:r w:rsidRPr="007F3E67">
        <w:rPr>
          <w:lang w:val="fr-FR"/>
        </w:rPr>
        <w:fldChar w:fldCharType="begin"/>
      </w:r>
      <w:r w:rsidRPr="007F3E67">
        <w:rPr>
          <w:lang w:val="fr-FR"/>
        </w:rPr>
        <w:instrText xml:space="preserve"> SEQ level0 \*arabic </w:instrText>
      </w:r>
      <w:r w:rsidRPr="007F3E67">
        <w:rPr>
          <w:lang w:val="fr-FR"/>
        </w:rPr>
        <w:fldChar w:fldCharType="separate"/>
      </w:r>
      <w:r w:rsidR="007F3E67" w:rsidRPr="007F3E67">
        <w:rPr>
          <w:noProof/>
          <w:lang w:val="fr-FR"/>
        </w:rPr>
        <w:t>159</w:t>
      </w:r>
      <w:r w:rsidRPr="007F3E67">
        <w:rPr>
          <w:lang w:val="fr-FR"/>
        </w:rPr>
        <w:fldChar w:fldCharType="end"/>
      </w:r>
      <w:r w:rsidRPr="007F3E67">
        <w:rPr>
          <w:lang w:val="fr-FR"/>
        </w:rPr>
        <w:t>.  En effet, aux yeux de la Cour, l</w:t>
      </w:r>
      <w:r w:rsidR="007F3E67" w:rsidRPr="007F3E67">
        <w:rPr>
          <w:lang w:val="fr-FR"/>
        </w:rPr>
        <w:t>’</w:t>
      </w:r>
      <w:r w:rsidRPr="007F3E67">
        <w:rPr>
          <w:lang w:val="fr-FR"/>
        </w:rPr>
        <w:t xml:space="preserve">origine </w:t>
      </w:r>
      <w:r w:rsidR="002C5785" w:rsidRPr="007F3E67">
        <w:rPr>
          <w:lang w:val="fr-FR"/>
        </w:rPr>
        <w:t xml:space="preserve">du problème réside dans le fait </w:t>
      </w:r>
      <w:r w:rsidR="00CE2F71" w:rsidRPr="007F3E67">
        <w:rPr>
          <w:lang w:val="fr-FR"/>
        </w:rPr>
        <w:t>qu</w:t>
      </w:r>
      <w:r w:rsidR="007F3E67" w:rsidRPr="007F3E67">
        <w:rPr>
          <w:lang w:val="fr-FR"/>
        </w:rPr>
        <w:t>’</w:t>
      </w:r>
      <w:r w:rsidR="00CE2F71" w:rsidRPr="007F3E67">
        <w:rPr>
          <w:lang w:val="fr-FR"/>
        </w:rPr>
        <w:t>aucune</w:t>
      </w:r>
      <w:r w:rsidR="004E7096" w:rsidRPr="007F3E67">
        <w:rPr>
          <w:lang w:val="fr-FR"/>
        </w:rPr>
        <w:t xml:space="preserve"> </w:t>
      </w:r>
      <w:r w:rsidRPr="007F3E67">
        <w:rPr>
          <w:lang w:val="fr-FR"/>
        </w:rPr>
        <w:t>des infractions pénales existantes n</w:t>
      </w:r>
      <w:r w:rsidR="007F3E67" w:rsidRPr="007F3E67">
        <w:rPr>
          <w:lang w:val="fr-FR"/>
        </w:rPr>
        <w:t>’</w:t>
      </w:r>
      <w:r w:rsidRPr="007F3E67">
        <w:rPr>
          <w:lang w:val="fr-FR"/>
        </w:rPr>
        <w:t>apparaît à même d</w:t>
      </w:r>
      <w:r w:rsidR="007F3E67" w:rsidRPr="007F3E67">
        <w:rPr>
          <w:lang w:val="fr-FR"/>
        </w:rPr>
        <w:t>’</w:t>
      </w:r>
      <w:r w:rsidRPr="007F3E67">
        <w:rPr>
          <w:lang w:val="fr-FR"/>
        </w:rPr>
        <w:t>englober toute la gamme de questions soulevées par un acte de torture dont un individu risque d</w:t>
      </w:r>
      <w:r w:rsidR="007F3E67" w:rsidRPr="007F3E67">
        <w:rPr>
          <w:lang w:val="fr-FR"/>
        </w:rPr>
        <w:t>’</w:t>
      </w:r>
      <w:r w:rsidRPr="007F3E67">
        <w:rPr>
          <w:lang w:val="fr-FR"/>
        </w:rPr>
        <w:t>être victime (</w:t>
      </w:r>
      <w:r w:rsidRPr="007F3E67">
        <w:rPr>
          <w:i/>
          <w:lang w:val="fr-FR"/>
        </w:rPr>
        <w:t>Myumyun c. Bulgarie</w:t>
      </w:r>
      <w:r w:rsidRPr="007F3E67">
        <w:rPr>
          <w:lang w:val="fr-FR"/>
        </w:rPr>
        <w:t>, n</w:t>
      </w:r>
      <w:r w:rsidRPr="007F3E67">
        <w:rPr>
          <w:vertAlign w:val="superscript"/>
          <w:lang w:val="fr-FR"/>
        </w:rPr>
        <w:t>o</w:t>
      </w:r>
      <w:r w:rsidRPr="007F3E67">
        <w:rPr>
          <w:lang w:val="fr-FR"/>
        </w:rPr>
        <w:t> 67258/13</w:t>
      </w:r>
      <w:r w:rsidRPr="007F3E67">
        <w:rPr>
          <w:snapToGrid w:val="0"/>
          <w:lang w:val="fr-FR"/>
        </w:rPr>
        <w:t xml:space="preserve">, § 77, 3 </w:t>
      </w:r>
      <w:r w:rsidRPr="007F3E67">
        <w:rPr>
          <w:lang w:val="fr-FR"/>
        </w:rPr>
        <w:t>novembre</w:t>
      </w:r>
      <w:r w:rsidRPr="007F3E67">
        <w:rPr>
          <w:snapToGrid w:val="0"/>
          <w:lang w:val="fr-FR"/>
        </w:rPr>
        <w:t xml:space="preserve"> 2015).</w:t>
      </w:r>
    </w:p>
    <w:p w:rsidR="00301040" w:rsidRPr="007F3E67" w:rsidRDefault="00455811" w:rsidP="007F3E67">
      <w:pPr>
        <w:pStyle w:val="ECHRPara"/>
        <w:rPr>
          <w:rFonts w:ascii="Times New Roman" w:hAnsi="Times New Roman" w:cs="Times New Roman"/>
          <w:color w:val="000000"/>
          <w:lang w:val="fr-FR"/>
        </w:rPr>
      </w:pPr>
      <w:r w:rsidRPr="007F3E67">
        <w:rPr>
          <w:snapToGrid w:val="0"/>
          <w:lang w:val="fr-FR"/>
        </w:rPr>
        <w:fldChar w:fldCharType="begin"/>
      </w:r>
      <w:r w:rsidRPr="007F3E67">
        <w:rPr>
          <w:snapToGrid w:val="0"/>
          <w:lang w:val="fr-FR"/>
        </w:rPr>
        <w:instrText xml:space="preserve"> SEQ level0 \*arabic </w:instrText>
      </w:r>
      <w:r w:rsidRPr="007F3E67">
        <w:rPr>
          <w:snapToGrid w:val="0"/>
          <w:lang w:val="fr-FR"/>
        </w:rPr>
        <w:fldChar w:fldCharType="separate"/>
      </w:r>
      <w:r w:rsidR="007F3E67" w:rsidRPr="007F3E67">
        <w:rPr>
          <w:noProof/>
          <w:snapToGrid w:val="0"/>
          <w:lang w:val="fr-FR"/>
        </w:rPr>
        <w:t>160</w:t>
      </w:r>
      <w:r w:rsidRPr="007F3E67">
        <w:rPr>
          <w:snapToGrid w:val="0"/>
          <w:lang w:val="fr-FR"/>
        </w:rPr>
        <w:fldChar w:fldCharType="end"/>
      </w:r>
      <w:r w:rsidRPr="007F3E67">
        <w:rPr>
          <w:snapToGrid w:val="0"/>
          <w:lang w:val="fr-FR"/>
        </w:rPr>
        <w:t>.  </w:t>
      </w:r>
      <w:r w:rsidR="00D74F1C" w:rsidRPr="007F3E67">
        <w:rPr>
          <w:snapToGrid w:val="0"/>
          <w:lang w:val="fr-FR"/>
        </w:rPr>
        <w:t>L</w:t>
      </w:r>
      <w:r w:rsidRPr="007F3E67">
        <w:rPr>
          <w:snapToGrid w:val="0"/>
          <w:lang w:val="fr-FR"/>
        </w:rPr>
        <w:t xml:space="preserve">a Cour a déjà jugé dans son arrêt </w:t>
      </w:r>
      <w:r w:rsidRPr="007F3E67">
        <w:rPr>
          <w:i/>
          <w:snapToGrid w:val="0"/>
          <w:lang w:val="fr-FR"/>
        </w:rPr>
        <w:t>Cestaro</w:t>
      </w:r>
      <w:r w:rsidRPr="007F3E67">
        <w:rPr>
          <w:snapToGrid w:val="0"/>
          <w:lang w:val="fr-FR"/>
        </w:rPr>
        <w:t xml:space="preserve"> (précité, § 225) que la législation pénale </w:t>
      </w:r>
      <w:r w:rsidR="000C3E1B" w:rsidRPr="007F3E67">
        <w:rPr>
          <w:snapToGrid w:val="0"/>
          <w:lang w:val="fr-FR"/>
        </w:rPr>
        <w:t xml:space="preserve">nationale </w:t>
      </w:r>
      <w:r w:rsidRPr="007F3E67">
        <w:rPr>
          <w:lang w:val="fr-FR"/>
        </w:rPr>
        <w:t>appliquée dans les affaires en cause s</w:t>
      </w:r>
      <w:r w:rsidR="007F3E67" w:rsidRPr="007F3E67">
        <w:rPr>
          <w:lang w:val="fr-FR"/>
        </w:rPr>
        <w:t>’</w:t>
      </w:r>
      <w:r w:rsidRPr="007F3E67">
        <w:rPr>
          <w:lang w:val="fr-FR"/>
        </w:rPr>
        <w:t>était révélée à la fois inadéquate par rapport à l</w:t>
      </w:r>
      <w:r w:rsidR="007F3E67" w:rsidRPr="007F3E67">
        <w:rPr>
          <w:lang w:val="fr-FR"/>
        </w:rPr>
        <w:t>’</w:t>
      </w:r>
      <w:r w:rsidRPr="007F3E67">
        <w:rPr>
          <w:lang w:val="fr-FR"/>
        </w:rPr>
        <w:t>exigence de sanction des actes de torture en question et dépourvue de l</w:t>
      </w:r>
      <w:r w:rsidR="007F3E67" w:rsidRPr="007F3E67">
        <w:rPr>
          <w:lang w:val="fr-FR"/>
        </w:rPr>
        <w:t>’</w:t>
      </w:r>
      <w:r w:rsidRPr="007F3E67">
        <w:rPr>
          <w:lang w:val="fr-FR"/>
        </w:rPr>
        <w:t xml:space="preserve">effet dissuasif nécessaire </w:t>
      </w:r>
      <w:r w:rsidR="00D74F1C" w:rsidRPr="007F3E67">
        <w:rPr>
          <w:lang w:val="fr-FR"/>
        </w:rPr>
        <w:t>à la prévention de</w:t>
      </w:r>
      <w:r w:rsidRPr="007F3E67">
        <w:rPr>
          <w:lang w:val="fr-FR"/>
        </w:rPr>
        <w:t xml:space="preserve"> violations similaires de l</w:t>
      </w:r>
      <w:r w:rsidR="007F3E67" w:rsidRPr="007F3E67">
        <w:rPr>
          <w:lang w:val="fr-FR"/>
        </w:rPr>
        <w:t>’</w:t>
      </w:r>
      <w:r w:rsidRPr="007F3E67">
        <w:rPr>
          <w:lang w:val="fr-FR"/>
        </w:rPr>
        <w:t xml:space="preserve">article 3 </w:t>
      </w:r>
      <w:r w:rsidR="00CE2F71" w:rsidRPr="007F3E67">
        <w:rPr>
          <w:lang w:val="fr-FR"/>
        </w:rPr>
        <w:t>de la Convention</w:t>
      </w:r>
      <w:r w:rsidRPr="007F3E67">
        <w:rPr>
          <w:lang w:val="fr-FR"/>
        </w:rPr>
        <w:t>.</w:t>
      </w:r>
    </w:p>
    <w:p w:rsidR="00CE3893" w:rsidRPr="007F3E67" w:rsidRDefault="00CE3893" w:rsidP="007F3E67">
      <w:pPr>
        <w:pStyle w:val="ECHRPara"/>
        <w:rPr>
          <w:lang w:val="fr-FR"/>
        </w:rPr>
      </w:pPr>
      <w:r w:rsidRPr="007F3E67">
        <w:rPr>
          <w:rFonts w:ascii="Times New Roman" w:hAnsi="Times New Roman" w:cs="Times New Roman"/>
          <w:color w:val="000000"/>
          <w:lang w:val="fr-FR"/>
        </w:rPr>
        <w:fldChar w:fldCharType="begin"/>
      </w:r>
      <w:r w:rsidRPr="007F3E67">
        <w:rPr>
          <w:rFonts w:ascii="Times New Roman" w:hAnsi="Times New Roman" w:cs="Times New Roman"/>
          <w:color w:val="000000"/>
          <w:lang w:val="fr-FR"/>
        </w:rPr>
        <w:instrText xml:space="preserve"> SEQ level0 \*arabic </w:instrText>
      </w:r>
      <w:r w:rsidRPr="007F3E67">
        <w:rPr>
          <w:rFonts w:ascii="Times New Roman" w:hAnsi="Times New Roman" w:cs="Times New Roman"/>
          <w:color w:val="000000"/>
          <w:lang w:val="fr-FR"/>
        </w:rPr>
        <w:fldChar w:fldCharType="separate"/>
      </w:r>
      <w:r w:rsidR="007F3E67" w:rsidRPr="007F3E67">
        <w:rPr>
          <w:rFonts w:ascii="Times New Roman" w:hAnsi="Times New Roman" w:cs="Times New Roman"/>
          <w:noProof/>
          <w:color w:val="000000"/>
          <w:lang w:val="fr-FR"/>
        </w:rPr>
        <w:t>161</w:t>
      </w:r>
      <w:r w:rsidRPr="007F3E67">
        <w:rPr>
          <w:rFonts w:ascii="Times New Roman" w:hAnsi="Times New Roman" w:cs="Times New Roman"/>
          <w:color w:val="000000"/>
          <w:lang w:val="fr-FR"/>
        </w:rPr>
        <w:fldChar w:fldCharType="end"/>
      </w:r>
      <w:r w:rsidRPr="007F3E67">
        <w:rPr>
          <w:rFonts w:ascii="Times New Roman" w:hAnsi="Times New Roman" w:cs="Times New Roman"/>
          <w:color w:val="000000"/>
          <w:lang w:val="fr-FR"/>
        </w:rPr>
        <w:t>.  </w:t>
      </w:r>
      <w:r w:rsidR="009A3584" w:rsidRPr="007F3E67">
        <w:rPr>
          <w:rFonts w:ascii="Times New Roman" w:hAnsi="Times New Roman" w:cs="Times New Roman"/>
          <w:color w:val="000000"/>
          <w:lang w:val="fr-FR"/>
        </w:rPr>
        <w:t>Dans ce cadre</w:t>
      </w:r>
      <w:r w:rsidRPr="007F3E67">
        <w:rPr>
          <w:rFonts w:ascii="Times New Roman" w:hAnsi="Times New Roman" w:cs="Times New Roman"/>
          <w:color w:val="000000"/>
          <w:lang w:val="fr-FR"/>
        </w:rPr>
        <w:t>, elle a invité l</w:t>
      </w:r>
      <w:r w:rsidR="007F3E67" w:rsidRPr="007F3E67">
        <w:rPr>
          <w:rFonts w:ascii="Times New Roman" w:hAnsi="Times New Roman" w:cs="Times New Roman"/>
          <w:color w:val="000000"/>
          <w:lang w:val="fr-FR"/>
        </w:rPr>
        <w:t>’</w:t>
      </w:r>
      <w:r w:rsidRPr="007F3E67">
        <w:rPr>
          <w:rFonts w:ascii="Times New Roman" w:hAnsi="Times New Roman" w:cs="Times New Roman"/>
          <w:color w:val="000000"/>
          <w:lang w:val="fr-FR"/>
        </w:rPr>
        <w:t xml:space="preserve">Italie à se munir des outils juridiques </w:t>
      </w:r>
      <w:r w:rsidRPr="007F3E67">
        <w:rPr>
          <w:lang w:val="fr-FR"/>
        </w:rPr>
        <w:t>aptes à sanctionner de manière adéquate les responsables d</w:t>
      </w:r>
      <w:r w:rsidR="007F3E67" w:rsidRPr="007F3E67">
        <w:rPr>
          <w:lang w:val="fr-FR"/>
        </w:rPr>
        <w:t>’</w:t>
      </w:r>
      <w:r w:rsidRPr="007F3E67">
        <w:rPr>
          <w:lang w:val="fr-FR"/>
        </w:rPr>
        <w:t>actes de torture ou d</w:t>
      </w:r>
      <w:r w:rsidR="007F3E67" w:rsidRPr="007F3E67">
        <w:rPr>
          <w:lang w:val="fr-FR"/>
        </w:rPr>
        <w:t>’</w:t>
      </w:r>
      <w:r w:rsidRPr="007F3E67">
        <w:rPr>
          <w:lang w:val="fr-FR"/>
        </w:rPr>
        <w:t>autres mauvais traitements au regard de l</w:t>
      </w:r>
      <w:r w:rsidR="007F3E67" w:rsidRPr="007F3E67">
        <w:rPr>
          <w:lang w:val="fr-FR"/>
        </w:rPr>
        <w:t>’</w:t>
      </w:r>
      <w:r w:rsidRPr="007F3E67">
        <w:rPr>
          <w:lang w:val="fr-FR"/>
        </w:rPr>
        <w:t>article 3 et à empêcher que ceux-ci puissent bénéficier de</w:t>
      </w:r>
      <w:r w:rsidR="00D74F1C" w:rsidRPr="007F3E67">
        <w:rPr>
          <w:lang w:val="fr-FR"/>
        </w:rPr>
        <w:t xml:space="preserve"> l</w:t>
      </w:r>
      <w:r w:rsidR="007F3E67" w:rsidRPr="007F3E67">
        <w:rPr>
          <w:lang w:val="fr-FR"/>
        </w:rPr>
        <w:t>’</w:t>
      </w:r>
      <w:r w:rsidR="00D74F1C" w:rsidRPr="007F3E67">
        <w:rPr>
          <w:lang w:val="fr-FR"/>
        </w:rPr>
        <w:t>application de</w:t>
      </w:r>
      <w:r w:rsidRPr="007F3E67">
        <w:rPr>
          <w:lang w:val="fr-FR"/>
        </w:rPr>
        <w:t xml:space="preserve"> mesures en contradiction avec la jurisprudence de la Cour</w:t>
      </w:r>
      <w:r w:rsidR="0017142E" w:rsidRPr="007F3E67">
        <w:rPr>
          <w:lang w:val="fr-FR"/>
        </w:rPr>
        <w:t>, notamment la prescription et la remise de peine</w:t>
      </w:r>
      <w:r w:rsidRPr="007F3E67">
        <w:rPr>
          <w:lang w:val="fr-FR"/>
        </w:rPr>
        <w:t xml:space="preserve"> (</w:t>
      </w:r>
      <w:r w:rsidRPr="007F3E67">
        <w:rPr>
          <w:i/>
          <w:lang w:val="fr-FR"/>
        </w:rPr>
        <w:t xml:space="preserve">idem, </w:t>
      </w:r>
      <w:r w:rsidRPr="007F3E67">
        <w:rPr>
          <w:lang w:val="fr-FR"/>
        </w:rPr>
        <w:t>§§ 242-246)</w:t>
      </w:r>
      <w:r w:rsidRPr="007F3E67">
        <w:rPr>
          <w:rFonts w:ascii="Times New Roman" w:hAnsi="Times New Roman" w:cs="Times New Roman"/>
          <w:color w:val="000000"/>
          <w:lang w:val="fr-FR"/>
        </w:rPr>
        <w:t>.</w:t>
      </w:r>
    </w:p>
    <w:p w:rsidR="008248C9" w:rsidRPr="007F3E67" w:rsidRDefault="00455811" w:rsidP="007F3E67">
      <w:pPr>
        <w:pStyle w:val="ECHRPara"/>
        <w:rPr>
          <w:lang w:val="fr-FR"/>
        </w:rPr>
      </w:pPr>
      <w:r w:rsidRPr="007F3E67">
        <w:rPr>
          <w:lang w:val="fr-FR"/>
        </w:rPr>
        <w:fldChar w:fldCharType="begin"/>
      </w:r>
      <w:r w:rsidRPr="007F3E67">
        <w:rPr>
          <w:lang w:val="fr-FR"/>
        </w:rPr>
        <w:instrText xml:space="preserve"> SEQ level0 \*arabic </w:instrText>
      </w:r>
      <w:r w:rsidRPr="007F3E67">
        <w:rPr>
          <w:lang w:val="fr-FR"/>
        </w:rPr>
        <w:fldChar w:fldCharType="separate"/>
      </w:r>
      <w:r w:rsidR="007F3E67" w:rsidRPr="007F3E67">
        <w:rPr>
          <w:noProof/>
          <w:lang w:val="fr-FR"/>
        </w:rPr>
        <w:t>162</w:t>
      </w:r>
      <w:r w:rsidRPr="007F3E67">
        <w:rPr>
          <w:lang w:val="fr-FR"/>
        </w:rPr>
        <w:fldChar w:fldCharType="end"/>
      </w:r>
      <w:r w:rsidRPr="007F3E67">
        <w:rPr>
          <w:lang w:val="fr-FR"/>
        </w:rPr>
        <w:t>.  </w:t>
      </w:r>
      <w:r w:rsidR="00D74F1C" w:rsidRPr="007F3E67">
        <w:rPr>
          <w:lang w:val="fr-FR"/>
        </w:rPr>
        <w:t>L</w:t>
      </w:r>
      <w:r w:rsidRPr="007F3E67">
        <w:rPr>
          <w:lang w:val="fr-FR"/>
        </w:rPr>
        <w:t xml:space="preserve">e législateur italien a présenté une proposition de loi introduisant le délit de torture. </w:t>
      </w:r>
      <w:r w:rsidR="00BB5D93" w:rsidRPr="007F3E67">
        <w:rPr>
          <w:lang w:val="fr-FR"/>
        </w:rPr>
        <w:t>Après des modifications successives</w:t>
      </w:r>
      <w:r w:rsidR="00FA29F8" w:rsidRPr="007F3E67">
        <w:rPr>
          <w:lang w:val="fr-FR"/>
        </w:rPr>
        <w:t xml:space="preserve">, </w:t>
      </w:r>
      <w:r w:rsidR="00CE3893" w:rsidRPr="007F3E67">
        <w:rPr>
          <w:rFonts w:ascii="Times New Roman" w:hAnsi="Times New Roman" w:cs="Times New Roman"/>
          <w:color w:val="000000"/>
          <w:lang w:val="fr-FR"/>
        </w:rPr>
        <w:t>l</w:t>
      </w:r>
      <w:r w:rsidR="00FA29F8" w:rsidRPr="007F3E67">
        <w:rPr>
          <w:rFonts w:ascii="Times New Roman" w:hAnsi="Times New Roman" w:cs="Times New Roman"/>
          <w:color w:val="000000"/>
          <w:lang w:val="fr-FR"/>
        </w:rPr>
        <w:t xml:space="preserve">e </w:t>
      </w:r>
      <w:r w:rsidR="00BB5D93" w:rsidRPr="007F3E67">
        <w:rPr>
          <w:rFonts w:ascii="Times New Roman" w:hAnsi="Times New Roman" w:cs="Times New Roman"/>
          <w:color w:val="000000"/>
          <w:lang w:val="fr-FR"/>
        </w:rPr>
        <w:t>18</w:t>
      </w:r>
      <w:r w:rsidR="00FA29F8" w:rsidRPr="007F3E67">
        <w:rPr>
          <w:rFonts w:ascii="Times New Roman" w:hAnsi="Times New Roman" w:cs="Times New Roman"/>
          <w:color w:val="000000"/>
          <w:lang w:val="fr-FR"/>
        </w:rPr>
        <w:t xml:space="preserve"> juillet 2017 l</w:t>
      </w:r>
      <w:r w:rsidR="00CE3893" w:rsidRPr="007F3E67">
        <w:rPr>
          <w:rFonts w:ascii="Times New Roman" w:hAnsi="Times New Roman" w:cs="Times New Roman"/>
          <w:color w:val="000000"/>
          <w:lang w:val="fr-FR"/>
        </w:rPr>
        <w:t xml:space="preserve">a loi </w:t>
      </w:r>
      <w:r w:rsidR="00BB5D93" w:rsidRPr="007F3E67">
        <w:rPr>
          <w:rFonts w:ascii="Times New Roman" w:hAnsi="Times New Roman" w:cs="Times New Roman"/>
          <w:color w:val="000000"/>
          <w:lang w:val="fr-FR"/>
        </w:rPr>
        <w:t>est entrée en vigueur</w:t>
      </w:r>
      <w:r w:rsidR="008248C9" w:rsidRPr="007F3E67">
        <w:rPr>
          <w:rFonts w:ascii="Times New Roman" w:hAnsi="Times New Roman" w:cs="Times New Roman"/>
          <w:color w:val="000000"/>
          <w:lang w:val="fr-FR"/>
        </w:rPr>
        <w:t xml:space="preserve">. </w:t>
      </w:r>
      <w:r w:rsidR="00CE3893" w:rsidRPr="007F3E67">
        <w:rPr>
          <w:lang w:val="fr-FR"/>
        </w:rPr>
        <w:t xml:space="preserve">La Cour </w:t>
      </w:r>
      <w:r w:rsidR="00882C0B" w:rsidRPr="007F3E67">
        <w:rPr>
          <w:lang w:val="fr-FR"/>
        </w:rPr>
        <w:t>prend note de l</w:t>
      </w:r>
      <w:r w:rsidR="007F3E67" w:rsidRPr="007F3E67">
        <w:rPr>
          <w:lang w:val="fr-FR"/>
        </w:rPr>
        <w:t>’</w:t>
      </w:r>
      <w:r w:rsidR="00882C0B" w:rsidRPr="007F3E67">
        <w:rPr>
          <w:lang w:val="fr-FR"/>
        </w:rPr>
        <w:t>introduction des nouvelles dispositions qui ne trouvent pas à s</w:t>
      </w:r>
      <w:r w:rsidR="007F3E67" w:rsidRPr="007F3E67">
        <w:rPr>
          <w:lang w:val="fr-FR"/>
        </w:rPr>
        <w:t>’</w:t>
      </w:r>
      <w:r w:rsidR="00882C0B" w:rsidRPr="007F3E67">
        <w:rPr>
          <w:lang w:val="fr-FR"/>
        </w:rPr>
        <w:t>appliquer en l</w:t>
      </w:r>
      <w:r w:rsidR="007F3E67" w:rsidRPr="007F3E67">
        <w:rPr>
          <w:lang w:val="fr-FR"/>
        </w:rPr>
        <w:t>’</w:t>
      </w:r>
      <w:r w:rsidR="00882C0B" w:rsidRPr="007F3E67">
        <w:rPr>
          <w:lang w:val="fr-FR"/>
        </w:rPr>
        <w:t>espèce.</w:t>
      </w:r>
    </w:p>
    <w:p w:rsidR="00301040" w:rsidRPr="007F3E67" w:rsidRDefault="0017142E" w:rsidP="007F3E67">
      <w:pPr>
        <w:pStyle w:val="ECHRPara"/>
        <w:rPr>
          <w:lang w:val="fr-FR"/>
        </w:rPr>
      </w:pPr>
      <w:r w:rsidRPr="007F3E67">
        <w:rPr>
          <w:lang w:val="fr-FR"/>
        </w:rPr>
        <w:fldChar w:fldCharType="begin"/>
      </w:r>
      <w:r w:rsidRPr="007F3E67">
        <w:rPr>
          <w:lang w:val="fr-FR"/>
        </w:rPr>
        <w:instrText xml:space="preserve"> SEQ level0 \*arabic </w:instrText>
      </w:r>
      <w:r w:rsidRPr="007F3E67">
        <w:rPr>
          <w:lang w:val="fr-FR"/>
        </w:rPr>
        <w:fldChar w:fldCharType="separate"/>
      </w:r>
      <w:r w:rsidR="007F3E67" w:rsidRPr="007F3E67">
        <w:rPr>
          <w:noProof/>
          <w:lang w:val="fr-FR"/>
        </w:rPr>
        <w:t>163</w:t>
      </w:r>
      <w:r w:rsidRPr="007F3E67">
        <w:rPr>
          <w:lang w:val="fr-FR"/>
        </w:rPr>
        <w:fldChar w:fldCharType="end"/>
      </w:r>
      <w:r w:rsidRPr="007F3E67">
        <w:rPr>
          <w:lang w:val="fr-FR"/>
        </w:rPr>
        <w:t>. </w:t>
      </w:r>
      <w:r w:rsidR="00BB5D93" w:rsidRPr="007F3E67">
        <w:rPr>
          <w:lang w:val="fr-FR"/>
        </w:rPr>
        <w:t> </w:t>
      </w:r>
      <w:r w:rsidR="009A389D" w:rsidRPr="007F3E67">
        <w:rPr>
          <w:lang w:val="fr-FR"/>
        </w:rPr>
        <w:t>Concernant</w:t>
      </w:r>
      <w:r w:rsidR="00247427" w:rsidRPr="007F3E67">
        <w:rPr>
          <w:lang w:val="fr-FR"/>
        </w:rPr>
        <w:t>,</w:t>
      </w:r>
      <w:r w:rsidRPr="007F3E67">
        <w:rPr>
          <w:snapToGrid w:val="0"/>
          <w:lang w:val="fr-FR"/>
        </w:rPr>
        <w:t xml:space="preserve"> enfin</w:t>
      </w:r>
      <w:r w:rsidR="00247427" w:rsidRPr="007F3E67">
        <w:rPr>
          <w:snapToGrid w:val="0"/>
          <w:lang w:val="fr-FR"/>
        </w:rPr>
        <w:t>,</w:t>
      </w:r>
      <w:r w:rsidRPr="007F3E67">
        <w:rPr>
          <w:snapToGrid w:val="0"/>
          <w:lang w:val="fr-FR"/>
        </w:rPr>
        <w:t xml:space="preserve"> </w:t>
      </w:r>
      <w:r w:rsidR="009A389D" w:rsidRPr="007F3E67">
        <w:rPr>
          <w:snapToGrid w:val="0"/>
          <w:lang w:val="fr-FR"/>
        </w:rPr>
        <w:t xml:space="preserve">les </w:t>
      </w:r>
      <w:r w:rsidRPr="007F3E67">
        <w:rPr>
          <w:snapToGrid w:val="0"/>
          <w:lang w:val="fr-FR"/>
        </w:rPr>
        <w:t>mesures disciplinaires, l</w:t>
      </w:r>
      <w:r w:rsidRPr="007F3E67">
        <w:rPr>
          <w:lang w:val="fr-FR"/>
        </w:rPr>
        <w:t>a Cour observe que</w:t>
      </w:r>
      <w:r w:rsidRPr="007F3E67">
        <w:rPr>
          <w:snapToGrid w:val="0"/>
          <w:lang w:val="fr-FR"/>
        </w:rPr>
        <w:t xml:space="preserve"> le Gouvernement </w:t>
      </w:r>
      <w:r w:rsidR="007A6ACE" w:rsidRPr="007F3E67">
        <w:rPr>
          <w:snapToGrid w:val="0"/>
          <w:lang w:val="fr-FR"/>
        </w:rPr>
        <w:t xml:space="preserve">indique que </w:t>
      </w:r>
      <w:r w:rsidRPr="007F3E67">
        <w:rPr>
          <w:lang w:val="fr-FR"/>
        </w:rPr>
        <w:t xml:space="preserve">les policiers concernés </w:t>
      </w:r>
      <w:r w:rsidR="007A6ACE" w:rsidRPr="007F3E67">
        <w:rPr>
          <w:lang w:val="fr-FR"/>
        </w:rPr>
        <w:t>n</w:t>
      </w:r>
      <w:r w:rsidR="007F3E67" w:rsidRPr="007F3E67">
        <w:rPr>
          <w:lang w:val="fr-FR"/>
        </w:rPr>
        <w:t>’</w:t>
      </w:r>
      <w:r w:rsidRPr="007F3E67">
        <w:rPr>
          <w:lang w:val="fr-FR"/>
        </w:rPr>
        <w:t xml:space="preserve">ont </w:t>
      </w:r>
      <w:r w:rsidR="007A6ACE" w:rsidRPr="007F3E67">
        <w:rPr>
          <w:lang w:val="fr-FR"/>
        </w:rPr>
        <w:t xml:space="preserve">pas </w:t>
      </w:r>
      <w:r w:rsidRPr="007F3E67">
        <w:rPr>
          <w:lang w:val="fr-FR"/>
        </w:rPr>
        <w:t xml:space="preserve">été suspendus de leurs fonctions pendant le procès. </w:t>
      </w:r>
      <w:r w:rsidR="00247427" w:rsidRPr="007F3E67">
        <w:rPr>
          <w:lang w:val="fr-FR"/>
        </w:rPr>
        <w:t>Elle note que</w:t>
      </w:r>
      <w:r w:rsidRPr="007F3E67">
        <w:rPr>
          <w:lang w:val="fr-FR"/>
        </w:rPr>
        <w:t xml:space="preserve"> le Gouvernement </w:t>
      </w:r>
      <w:r w:rsidR="00247427" w:rsidRPr="007F3E67">
        <w:rPr>
          <w:lang w:val="fr-FR"/>
        </w:rPr>
        <w:t>ne précise pas</w:t>
      </w:r>
      <w:r w:rsidR="007A6ACE" w:rsidRPr="007F3E67">
        <w:rPr>
          <w:lang w:val="fr-FR"/>
        </w:rPr>
        <w:t xml:space="preserve"> si c</w:t>
      </w:r>
      <w:r w:rsidRPr="007F3E67">
        <w:rPr>
          <w:lang w:val="fr-FR"/>
        </w:rPr>
        <w:t xml:space="preserve">es </w:t>
      </w:r>
      <w:r w:rsidR="007A6ACE" w:rsidRPr="007F3E67">
        <w:rPr>
          <w:lang w:val="fr-FR"/>
        </w:rPr>
        <w:t xml:space="preserve">mêmes </w:t>
      </w:r>
      <w:r w:rsidRPr="007F3E67">
        <w:rPr>
          <w:lang w:val="fr-FR"/>
        </w:rPr>
        <w:t>policiers ont fait l</w:t>
      </w:r>
      <w:r w:rsidR="007F3E67" w:rsidRPr="007F3E67">
        <w:rPr>
          <w:lang w:val="fr-FR"/>
        </w:rPr>
        <w:t>’</w:t>
      </w:r>
      <w:r w:rsidRPr="007F3E67">
        <w:rPr>
          <w:lang w:val="fr-FR"/>
        </w:rPr>
        <w:t xml:space="preserve">objet de mesures disciplinaires </w:t>
      </w:r>
      <w:r w:rsidR="009A389D" w:rsidRPr="007F3E67">
        <w:rPr>
          <w:lang w:val="fr-FR"/>
        </w:rPr>
        <w:t>et n</w:t>
      </w:r>
      <w:r w:rsidR="007F3E67" w:rsidRPr="007F3E67">
        <w:rPr>
          <w:lang w:val="fr-FR"/>
        </w:rPr>
        <w:t>’</w:t>
      </w:r>
      <w:r w:rsidR="009A389D" w:rsidRPr="007F3E67">
        <w:rPr>
          <w:lang w:val="fr-FR"/>
        </w:rPr>
        <w:t>indique pas</w:t>
      </w:r>
      <w:r w:rsidR="00247427" w:rsidRPr="007F3E67">
        <w:rPr>
          <w:lang w:val="fr-FR"/>
        </w:rPr>
        <w:t>, le cas échéant,</w:t>
      </w:r>
      <w:r w:rsidRPr="007F3E67">
        <w:rPr>
          <w:lang w:val="fr-FR"/>
        </w:rPr>
        <w:t xml:space="preserve"> </w:t>
      </w:r>
      <w:r w:rsidR="009A389D" w:rsidRPr="007F3E67">
        <w:rPr>
          <w:lang w:val="fr-FR"/>
        </w:rPr>
        <w:t xml:space="preserve">quelles ont été </w:t>
      </w:r>
      <w:r w:rsidRPr="007F3E67">
        <w:rPr>
          <w:lang w:val="fr-FR"/>
        </w:rPr>
        <w:t>les mesures adoptées</w:t>
      </w:r>
      <w:r w:rsidR="00247427" w:rsidRPr="007F3E67">
        <w:rPr>
          <w:lang w:val="fr-FR"/>
        </w:rPr>
        <w:t xml:space="preserve"> à cet égard</w:t>
      </w:r>
      <w:r w:rsidR="00BB5D93" w:rsidRPr="007F3E67">
        <w:rPr>
          <w:lang w:val="fr-FR"/>
        </w:rPr>
        <w:t>.</w:t>
      </w:r>
    </w:p>
    <w:p w:rsidR="00DF3CE5" w:rsidRPr="007F3E67" w:rsidRDefault="0017142E" w:rsidP="007F3E67">
      <w:pPr>
        <w:pStyle w:val="ECHRPara"/>
        <w:rPr>
          <w:i/>
          <w:lang w:val="fr-FR"/>
        </w:rPr>
      </w:pPr>
      <w:r w:rsidRPr="007F3E67">
        <w:rPr>
          <w:snapToGrid w:val="0"/>
          <w:lang w:val="fr-FR"/>
        </w:rPr>
        <w:fldChar w:fldCharType="begin"/>
      </w:r>
      <w:r w:rsidRPr="007F3E67">
        <w:rPr>
          <w:snapToGrid w:val="0"/>
          <w:lang w:val="fr-FR"/>
        </w:rPr>
        <w:instrText xml:space="preserve"> SEQ level0 \*arabic </w:instrText>
      </w:r>
      <w:r w:rsidRPr="007F3E67">
        <w:rPr>
          <w:snapToGrid w:val="0"/>
          <w:lang w:val="fr-FR"/>
        </w:rPr>
        <w:fldChar w:fldCharType="separate"/>
      </w:r>
      <w:r w:rsidR="007F3E67" w:rsidRPr="007F3E67">
        <w:rPr>
          <w:noProof/>
          <w:snapToGrid w:val="0"/>
          <w:lang w:val="fr-FR"/>
        </w:rPr>
        <w:t>164</w:t>
      </w:r>
      <w:r w:rsidRPr="007F3E67">
        <w:rPr>
          <w:snapToGrid w:val="0"/>
          <w:lang w:val="fr-FR"/>
        </w:rPr>
        <w:fldChar w:fldCharType="end"/>
      </w:r>
      <w:r w:rsidRPr="007F3E67">
        <w:rPr>
          <w:snapToGrid w:val="0"/>
          <w:lang w:val="fr-FR"/>
        </w:rPr>
        <w:t>.  </w:t>
      </w:r>
      <w:r w:rsidR="00BC2FE7" w:rsidRPr="007F3E67">
        <w:rPr>
          <w:lang w:val="fr-FR"/>
        </w:rPr>
        <w:t xml:space="preserve">La Cour </w:t>
      </w:r>
      <w:r w:rsidR="00EC3064" w:rsidRPr="007F3E67">
        <w:rPr>
          <w:lang w:val="fr-FR"/>
        </w:rPr>
        <w:t>rappelle en</w:t>
      </w:r>
      <w:r w:rsidR="00DF3CE5" w:rsidRPr="007F3E67">
        <w:rPr>
          <w:lang w:val="fr-FR"/>
        </w:rPr>
        <w:t xml:space="preserve"> </w:t>
      </w:r>
      <w:r w:rsidR="00EC3064" w:rsidRPr="007F3E67">
        <w:rPr>
          <w:lang w:val="fr-FR"/>
        </w:rPr>
        <w:t>tout état de cause</w:t>
      </w:r>
      <w:r w:rsidR="00ED2653" w:rsidRPr="007F3E67">
        <w:rPr>
          <w:lang w:val="fr-FR"/>
        </w:rPr>
        <w:t>,</w:t>
      </w:r>
      <w:r w:rsidR="00DF3CE5" w:rsidRPr="007F3E67">
        <w:rPr>
          <w:snapToGrid w:val="0"/>
          <w:lang w:val="fr-FR"/>
        </w:rPr>
        <w:t xml:space="preserve"> à ce propos</w:t>
      </w:r>
      <w:r w:rsidR="00ED2653" w:rsidRPr="007F3E67">
        <w:rPr>
          <w:snapToGrid w:val="0"/>
          <w:lang w:val="fr-FR"/>
        </w:rPr>
        <w:t>,</w:t>
      </w:r>
      <w:r w:rsidR="00DF3CE5" w:rsidRPr="007F3E67">
        <w:rPr>
          <w:snapToGrid w:val="0"/>
          <w:lang w:val="fr-FR"/>
        </w:rPr>
        <w:t xml:space="preserve"> avoir </w:t>
      </w:r>
      <w:r w:rsidR="001B66DA" w:rsidRPr="007F3E67">
        <w:rPr>
          <w:snapToGrid w:val="0"/>
          <w:lang w:val="fr-FR"/>
        </w:rPr>
        <w:t>répété</w:t>
      </w:r>
      <w:r w:rsidR="00DF3CE5" w:rsidRPr="007F3E67">
        <w:rPr>
          <w:snapToGrid w:val="0"/>
          <w:lang w:val="fr-FR"/>
        </w:rPr>
        <w:t xml:space="preserve"> que</w:t>
      </w:r>
      <w:r w:rsidR="001B66DA" w:rsidRPr="007F3E67">
        <w:rPr>
          <w:snapToGrid w:val="0"/>
          <w:lang w:val="fr-FR"/>
        </w:rPr>
        <w:t>,</w:t>
      </w:r>
      <w:r w:rsidR="00DF3CE5" w:rsidRPr="007F3E67">
        <w:rPr>
          <w:snapToGrid w:val="0"/>
          <w:lang w:val="fr-FR"/>
        </w:rPr>
        <w:t xml:space="preserve"> lorsque des agents de l</w:t>
      </w:r>
      <w:r w:rsidR="007F3E67" w:rsidRPr="007F3E67">
        <w:rPr>
          <w:snapToGrid w:val="0"/>
          <w:lang w:val="fr-FR"/>
        </w:rPr>
        <w:t>’</w:t>
      </w:r>
      <w:r w:rsidR="002C3600" w:rsidRPr="007F3E67">
        <w:rPr>
          <w:snapToGrid w:val="0"/>
          <w:lang w:val="fr-FR"/>
        </w:rPr>
        <w:t>État</w:t>
      </w:r>
      <w:r w:rsidR="00DF3CE5" w:rsidRPr="007F3E67">
        <w:rPr>
          <w:snapToGrid w:val="0"/>
          <w:lang w:val="fr-FR"/>
        </w:rPr>
        <w:t xml:space="preserve"> sont inculpés d</w:t>
      </w:r>
      <w:r w:rsidR="007F3E67" w:rsidRPr="007F3E67">
        <w:rPr>
          <w:snapToGrid w:val="0"/>
          <w:lang w:val="fr-FR"/>
        </w:rPr>
        <w:t>’</w:t>
      </w:r>
      <w:r w:rsidR="00DF3CE5" w:rsidRPr="007F3E67">
        <w:rPr>
          <w:snapToGrid w:val="0"/>
          <w:lang w:val="fr-FR"/>
        </w:rPr>
        <w:t>infractions impliquant des mauvais traitements, il importe qu</w:t>
      </w:r>
      <w:r w:rsidR="007F3E67" w:rsidRPr="007F3E67">
        <w:rPr>
          <w:snapToGrid w:val="0"/>
          <w:lang w:val="fr-FR"/>
        </w:rPr>
        <w:t>’</w:t>
      </w:r>
      <w:r w:rsidR="00DF3CE5" w:rsidRPr="007F3E67">
        <w:rPr>
          <w:snapToGrid w:val="0"/>
          <w:lang w:val="fr-FR"/>
        </w:rPr>
        <w:t>ils soient suspendus de leurs fonctions pendant l</w:t>
      </w:r>
      <w:r w:rsidR="007F3E67" w:rsidRPr="007F3E67">
        <w:rPr>
          <w:snapToGrid w:val="0"/>
          <w:lang w:val="fr-FR"/>
        </w:rPr>
        <w:t>’</w:t>
      </w:r>
      <w:r w:rsidR="00DF3CE5" w:rsidRPr="007F3E67">
        <w:rPr>
          <w:snapToGrid w:val="0"/>
          <w:lang w:val="fr-FR"/>
        </w:rPr>
        <w:t>instruction ou le procès et en soient dém</w:t>
      </w:r>
      <w:r w:rsidR="00832C49" w:rsidRPr="007F3E67">
        <w:rPr>
          <w:snapToGrid w:val="0"/>
          <w:lang w:val="fr-FR"/>
        </w:rPr>
        <w:t xml:space="preserve">is en cas de condamnation </w:t>
      </w:r>
      <w:r w:rsidR="00C20BE0" w:rsidRPr="007F3E67">
        <w:rPr>
          <w:lang w:val="fr-FR"/>
        </w:rPr>
        <w:t>(voir, parmi beaucoup d</w:t>
      </w:r>
      <w:r w:rsidR="007F3E67" w:rsidRPr="007F3E67">
        <w:rPr>
          <w:lang w:val="fr-FR"/>
        </w:rPr>
        <w:t>’</w:t>
      </w:r>
      <w:r w:rsidR="00C20BE0" w:rsidRPr="007F3E67">
        <w:rPr>
          <w:lang w:val="fr-FR"/>
        </w:rPr>
        <w:t xml:space="preserve">autres, </w:t>
      </w:r>
      <w:r w:rsidR="00C20BE0" w:rsidRPr="007F3E67">
        <w:rPr>
          <w:i/>
          <w:lang w:val="fr-FR"/>
        </w:rPr>
        <w:t>Abdülsamet Yaman</w:t>
      </w:r>
      <w:r w:rsidR="00C20BE0" w:rsidRPr="007F3E67">
        <w:rPr>
          <w:lang w:val="fr-FR"/>
        </w:rPr>
        <w:t xml:space="preserve">, </w:t>
      </w:r>
      <w:r w:rsidR="001B66DA" w:rsidRPr="007F3E67">
        <w:rPr>
          <w:lang w:val="fr-FR"/>
        </w:rPr>
        <w:t xml:space="preserve">précité, </w:t>
      </w:r>
      <w:r w:rsidR="00C20BE0" w:rsidRPr="007F3E67">
        <w:rPr>
          <w:lang w:val="fr-FR"/>
        </w:rPr>
        <w:t>§ 55,</w:t>
      </w:r>
      <w:r w:rsidR="00160E44" w:rsidRPr="007F3E67">
        <w:rPr>
          <w:lang w:val="fr-FR"/>
        </w:rPr>
        <w:t xml:space="preserve"> </w:t>
      </w:r>
      <w:r w:rsidR="00C20BE0" w:rsidRPr="007F3E67">
        <w:rPr>
          <w:i/>
          <w:lang w:val="fr-FR"/>
        </w:rPr>
        <w:t>Ali et Ayşe</w:t>
      </w:r>
      <w:r w:rsidR="00C20BE0" w:rsidRPr="007F3E67">
        <w:rPr>
          <w:lang w:val="fr-FR"/>
        </w:rPr>
        <w:t xml:space="preserve"> </w:t>
      </w:r>
      <w:r w:rsidR="00C20BE0" w:rsidRPr="007F3E67">
        <w:rPr>
          <w:i/>
          <w:lang w:val="fr-FR"/>
        </w:rPr>
        <w:t xml:space="preserve">Duran, </w:t>
      </w:r>
      <w:r w:rsidR="001B66DA" w:rsidRPr="007F3E67">
        <w:rPr>
          <w:lang w:val="fr-FR"/>
        </w:rPr>
        <w:t xml:space="preserve">précité, </w:t>
      </w:r>
      <w:r w:rsidR="00C20BE0" w:rsidRPr="007F3E67">
        <w:rPr>
          <w:lang w:val="fr-FR"/>
        </w:rPr>
        <w:t xml:space="preserve">§ 64, </w:t>
      </w:r>
      <w:r w:rsidR="00C20BE0" w:rsidRPr="007F3E67">
        <w:rPr>
          <w:i/>
          <w:lang w:val="fr-FR"/>
        </w:rPr>
        <w:t>Çamdereli</w:t>
      </w:r>
      <w:r w:rsidR="00C20BE0" w:rsidRPr="007F3E67">
        <w:rPr>
          <w:lang w:val="fr-FR"/>
        </w:rPr>
        <w:t xml:space="preserve">, </w:t>
      </w:r>
      <w:r w:rsidR="001B66DA" w:rsidRPr="007F3E67">
        <w:rPr>
          <w:lang w:val="fr-FR"/>
        </w:rPr>
        <w:t xml:space="preserve">précité, </w:t>
      </w:r>
      <w:r w:rsidR="00C20BE0" w:rsidRPr="007F3E67">
        <w:rPr>
          <w:lang w:val="fr-FR"/>
        </w:rPr>
        <w:t xml:space="preserve">§ 38, </w:t>
      </w:r>
      <w:r w:rsidR="00C20BE0" w:rsidRPr="007F3E67">
        <w:rPr>
          <w:i/>
          <w:lang w:val="fr-FR"/>
        </w:rPr>
        <w:t>Gäfgen</w:t>
      </w:r>
      <w:r w:rsidR="00C20BE0" w:rsidRPr="007F3E67">
        <w:rPr>
          <w:lang w:val="fr-FR"/>
        </w:rPr>
        <w:t xml:space="preserve">, </w:t>
      </w:r>
      <w:r w:rsidR="001B66DA" w:rsidRPr="007F3E67">
        <w:rPr>
          <w:lang w:val="fr-FR"/>
        </w:rPr>
        <w:t xml:space="preserve">précité, </w:t>
      </w:r>
      <w:r w:rsidR="00C20BE0" w:rsidRPr="007F3E67">
        <w:rPr>
          <w:lang w:val="fr-FR"/>
        </w:rPr>
        <w:t xml:space="preserve">§ 125, </w:t>
      </w:r>
      <w:r w:rsidR="00012384" w:rsidRPr="007F3E67">
        <w:rPr>
          <w:i/>
          <w:snapToGrid w:val="0"/>
          <w:lang w:val="fr-FR"/>
        </w:rPr>
        <w:t xml:space="preserve">Cestaro, </w:t>
      </w:r>
      <w:r w:rsidR="001B66DA" w:rsidRPr="007F3E67">
        <w:rPr>
          <w:snapToGrid w:val="0"/>
          <w:lang w:val="fr-FR"/>
        </w:rPr>
        <w:t xml:space="preserve">précité, </w:t>
      </w:r>
      <w:r w:rsidR="00012384" w:rsidRPr="007F3E67">
        <w:rPr>
          <w:snapToGrid w:val="0"/>
          <w:lang w:val="fr-FR"/>
        </w:rPr>
        <w:t xml:space="preserve">§ 205, </w:t>
      </w:r>
      <w:r w:rsidR="00030056" w:rsidRPr="007F3E67">
        <w:rPr>
          <w:i/>
          <w:lang w:val="fr-FR"/>
        </w:rPr>
        <w:t>Erdal Aslan c. Turquie</w:t>
      </w:r>
      <w:r w:rsidR="00030056" w:rsidRPr="007F3E67">
        <w:rPr>
          <w:lang w:val="fr-FR"/>
        </w:rPr>
        <w:t>, n</w:t>
      </w:r>
      <w:r w:rsidR="00030056" w:rsidRPr="007F3E67">
        <w:rPr>
          <w:vertAlign w:val="superscript"/>
          <w:lang w:val="fr-FR"/>
        </w:rPr>
        <w:t>os</w:t>
      </w:r>
      <w:r w:rsidR="007F3E67" w:rsidRPr="007F3E67">
        <w:rPr>
          <w:lang w:val="fr-FR"/>
        </w:rPr>
        <w:t xml:space="preserve"> 25060/02 et 1705/03, §§ </w:t>
      </w:r>
      <w:r w:rsidR="00030056" w:rsidRPr="007F3E67">
        <w:rPr>
          <w:lang w:val="fr-FR"/>
        </w:rPr>
        <w:t>74 et 76, 2</w:t>
      </w:r>
      <w:r w:rsidR="001B66DA" w:rsidRPr="007F3E67">
        <w:rPr>
          <w:lang w:val="fr-FR"/>
        </w:rPr>
        <w:t> </w:t>
      </w:r>
      <w:r w:rsidR="00030056" w:rsidRPr="007F3E67">
        <w:rPr>
          <w:lang w:val="fr-FR"/>
        </w:rPr>
        <w:t>décembre</w:t>
      </w:r>
      <w:r w:rsidR="001B66DA" w:rsidRPr="007F3E67">
        <w:rPr>
          <w:lang w:val="fr-FR"/>
        </w:rPr>
        <w:t> </w:t>
      </w:r>
      <w:r w:rsidR="00030056" w:rsidRPr="007F3E67">
        <w:rPr>
          <w:lang w:val="fr-FR"/>
        </w:rPr>
        <w:t xml:space="preserve">2008, </w:t>
      </w:r>
      <w:r w:rsidR="001B66DA" w:rsidRPr="007F3E67">
        <w:rPr>
          <w:lang w:val="fr-FR"/>
        </w:rPr>
        <w:t xml:space="preserve">et </w:t>
      </w:r>
      <w:r w:rsidR="00030056" w:rsidRPr="007F3E67">
        <w:rPr>
          <w:i/>
          <w:lang w:val="fr-FR"/>
        </w:rPr>
        <w:t>Saba c. Italie</w:t>
      </w:r>
      <w:r w:rsidR="00030056" w:rsidRPr="007F3E67">
        <w:rPr>
          <w:lang w:val="fr-FR"/>
        </w:rPr>
        <w:t>, n</w:t>
      </w:r>
      <w:r w:rsidR="00030056" w:rsidRPr="007F3E67">
        <w:rPr>
          <w:vertAlign w:val="superscript"/>
          <w:lang w:val="fr-FR"/>
        </w:rPr>
        <w:t>o</w:t>
      </w:r>
      <w:r w:rsidR="00030056" w:rsidRPr="007F3E67">
        <w:rPr>
          <w:lang w:val="fr-FR"/>
        </w:rPr>
        <w:t xml:space="preserve"> 36629/10</w:t>
      </w:r>
      <w:r w:rsidR="00030056" w:rsidRPr="007F3E67">
        <w:rPr>
          <w:snapToGrid w:val="0"/>
          <w:lang w:val="fr-FR"/>
        </w:rPr>
        <w:t>, § 78, 1</w:t>
      </w:r>
      <w:r w:rsidR="00030056" w:rsidRPr="007F3E67">
        <w:rPr>
          <w:snapToGrid w:val="0"/>
          <w:vertAlign w:val="superscript"/>
          <w:lang w:val="fr-FR"/>
        </w:rPr>
        <w:t>er</w:t>
      </w:r>
      <w:r w:rsidR="00030056" w:rsidRPr="007F3E67">
        <w:rPr>
          <w:snapToGrid w:val="0"/>
          <w:lang w:val="fr-FR"/>
        </w:rPr>
        <w:t xml:space="preserve"> </w:t>
      </w:r>
      <w:r w:rsidR="00030056" w:rsidRPr="007F3E67">
        <w:rPr>
          <w:lang w:val="fr-FR"/>
        </w:rPr>
        <w:t>juillet</w:t>
      </w:r>
      <w:r w:rsidR="00030056" w:rsidRPr="007F3E67">
        <w:rPr>
          <w:snapToGrid w:val="0"/>
          <w:lang w:val="fr-FR"/>
        </w:rPr>
        <w:t xml:space="preserve"> 2014</w:t>
      </w:r>
      <w:r w:rsidR="00C20BE0" w:rsidRPr="007F3E67">
        <w:rPr>
          <w:lang w:val="fr-FR"/>
        </w:rPr>
        <w:t>)</w:t>
      </w:r>
      <w:r w:rsidR="00BB5D93" w:rsidRPr="007F3E67">
        <w:rPr>
          <w:snapToGrid w:val="0"/>
          <w:lang w:val="fr-FR"/>
        </w:rPr>
        <w:t>.</w:t>
      </w:r>
    </w:p>
    <w:p w:rsidR="00455811" w:rsidRPr="007F3E67" w:rsidRDefault="00BB5D93" w:rsidP="007F3E67">
      <w:pPr>
        <w:pStyle w:val="ECHRPara"/>
        <w:rPr>
          <w:snapToGrid w:val="0"/>
          <w:lang w:val="fr-FR"/>
        </w:rPr>
      </w:pPr>
      <w:r w:rsidRPr="007F3E67">
        <w:rPr>
          <w:snapToGrid w:val="0"/>
          <w:lang w:val="fr-FR"/>
        </w:rPr>
        <w:fldChar w:fldCharType="begin"/>
      </w:r>
      <w:r w:rsidRPr="007F3E67">
        <w:rPr>
          <w:snapToGrid w:val="0"/>
          <w:lang w:val="fr-FR"/>
        </w:rPr>
        <w:instrText xml:space="preserve"> SEQ level0 \*arabic </w:instrText>
      </w:r>
      <w:r w:rsidRPr="007F3E67">
        <w:rPr>
          <w:snapToGrid w:val="0"/>
          <w:lang w:val="fr-FR"/>
        </w:rPr>
        <w:fldChar w:fldCharType="separate"/>
      </w:r>
      <w:r w:rsidR="007F3E67" w:rsidRPr="007F3E67">
        <w:rPr>
          <w:noProof/>
          <w:snapToGrid w:val="0"/>
          <w:lang w:val="fr-FR"/>
        </w:rPr>
        <w:t>165</w:t>
      </w:r>
      <w:r w:rsidRPr="007F3E67">
        <w:rPr>
          <w:snapToGrid w:val="0"/>
          <w:lang w:val="fr-FR"/>
        </w:rPr>
        <w:fldChar w:fldCharType="end"/>
      </w:r>
      <w:r w:rsidRPr="007F3E67">
        <w:rPr>
          <w:snapToGrid w:val="0"/>
          <w:lang w:val="fr-FR"/>
        </w:rPr>
        <w:t>.  </w:t>
      </w:r>
      <w:r w:rsidR="00455811" w:rsidRPr="007F3E67">
        <w:rPr>
          <w:snapToGrid w:val="0"/>
          <w:lang w:val="fr-FR"/>
        </w:rPr>
        <w:t>En conclusion, la Cour considère que les requérants n</w:t>
      </w:r>
      <w:r w:rsidR="007F3E67" w:rsidRPr="007F3E67">
        <w:rPr>
          <w:snapToGrid w:val="0"/>
          <w:lang w:val="fr-FR"/>
        </w:rPr>
        <w:t>’</w:t>
      </w:r>
      <w:r w:rsidR="00455811" w:rsidRPr="007F3E67">
        <w:rPr>
          <w:snapToGrid w:val="0"/>
          <w:lang w:val="fr-FR"/>
        </w:rPr>
        <w:t>ont pas bénéficié d</w:t>
      </w:r>
      <w:r w:rsidR="007F3E67" w:rsidRPr="007F3E67">
        <w:rPr>
          <w:snapToGrid w:val="0"/>
          <w:lang w:val="fr-FR"/>
        </w:rPr>
        <w:t>’</w:t>
      </w:r>
      <w:r w:rsidR="00455811" w:rsidRPr="007F3E67">
        <w:rPr>
          <w:snapToGrid w:val="0"/>
          <w:lang w:val="fr-FR"/>
        </w:rPr>
        <w:t>une enquête officielle effective aux fins de l</w:t>
      </w:r>
      <w:r w:rsidR="007F3E67" w:rsidRPr="007F3E67">
        <w:rPr>
          <w:snapToGrid w:val="0"/>
          <w:lang w:val="fr-FR"/>
        </w:rPr>
        <w:t>’</w:t>
      </w:r>
      <w:r w:rsidR="00455811" w:rsidRPr="007F3E67">
        <w:rPr>
          <w:snapToGrid w:val="0"/>
          <w:lang w:val="fr-FR"/>
        </w:rPr>
        <w:t xml:space="preserve">article 3 de la Convention. </w:t>
      </w:r>
      <w:r w:rsidR="00BC2FE7" w:rsidRPr="007F3E67">
        <w:rPr>
          <w:snapToGrid w:val="0"/>
          <w:lang w:val="fr-FR"/>
        </w:rPr>
        <w:t>Partant, elle conclut qu</w:t>
      </w:r>
      <w:r w:rsidR="007F3E67" w:rsidRPr="007F3E67">
        <w:rPr>
          <w:snapToGrid w:val="0"/>
          <w:lang w:val="fr-FR"/>
        </w:rPr>
        <w:t>’</w:t>
      </w:r>
      <w:r w:rsidR="00BC2FE7" w:rsidRPr="007F3E67">
        <w:rPr>
          <w:snapToGrid w:val="0"/>
          <w:lang w:val="fr-FR"/>
        </w:rPr>
        <w:t xml:space="preserve">il y a eu violation de cette disposition sous son volet procédural. </w:t>
      </w:r>
      <w:r w:rsidR="00A66F7F" w:rsidRPr="007F3E67">
        <w:rPr>
          <w:snapToGrid w:val="0"/>
          <w:lang w:val="fr-FR"/>
        </w:rPr>
        <w:t>Dès lors, elle rejette tant l</w:t>
      </w:r>
      <w:r w:rsidR="007F3E67" w:rsidRPr="007F3E67">
        <w:rPr>
          <w:snapToGrid w:val="0"/>
          <w:lang w:val="fr-FR"/>
        </w:rPr>
        <w:t>’</w:t>
      </w:r>
      <w:r w:rsidR="00A66F7F" w:rsidRPr="007F3E67">
        <w:rPr>
          <w:snapToGrid w:val="0"/>
          <w:lang w:val="fr-FR"/>
        </w:rPr>
        <w:t>exception préliminaire du Gouvernement tirée de la perte de la qualité de victime (paragraphes</w:t>
      </w:r>
      <w:r w:rsidR="00BC2FE7" w:rsidRPr="007F3E67">
        <w:rPr>
          <w:snapToGrid w:val="0"/>
          <w:lang w:val="fr-FR"/>
        </w:rPr>
        <w:t xml:space="preserve"> </w:t>
      </w:r>
      <w:r w:rsidR="00BC2FE7" w:rsidRPr="007F3E67">
        <w:rPr>
          <w:snapToGrid w:val="0"/>
          <w:lang w:val="fr-FR"/>
        </w:rPr>
        <w:fldChar w:fldCharType="begin"/>
      </w:r>
      <w:r w:rsidR="00BC2FE7" w:rsidRPr="007F3E67">
        <w:rPr>
          <w:snapToGrid w:val="0"/>
          <w:lang w:val="fr-FR"/>
        </w:rPr>
        <w:instrText xml:space="preserve"> REF qualité_victime \h  \* MERGEFORMAT </w:instrText>
      </w:r>
      <w:r w:rsidR="00BC2FE7" w:rsidRPr="007F3E67">
        <w:rPr>
          <w:snapToGrid w:val="0"/>
          <w:lang w:val="fr-FR"/>
        </w:rPr>
      </w:r>
      <w:r w:rsidR="00BC2FE7" w:rsidRPr="007F3E67">
        <w:rPr>
          <w:snapToGrid w:val="0"/>
          <w:lang w:val="fr-FR"/>
        </w:rPr>
        <w:fldChar w:fldCharType="separate"/>
      </w:r>
      <w:r w:rsidR="007F3E67" w:rsidRPr="007F3E67">
        <w:rPr>
          <w:noProof/>
          <w:lang w:val="fr-FR"/>
        </w:rPr>
        <w:t>93</w:t>
      </w:r>
      <w:r w:rsidR="00BC2FE7" w:rsidRPr="007F3E67">
        <w:rPr>
          <w:snapToGrid w:val="0"/>
          <w:lang w:val="fr-FR"/>
        </w:rPr>
        <w:fldChar w:fldCharType="end"/>
      </w:r>
      <w:r w:rsidR="009206B2" w:rsidRPr="007F3E67">
        <w:rPr>
          <w:snapToGrid w:val="0"/>
          <w:lang w:val="fr-FR"/>
        </w:rPr>
        <w:noBreakHyphen/>
      </w:r>
      <w:r w:rsidR="00BC2FE7" w:rsidRPr="007F3E67">
        <w:rPr>
          <w:snapToGrid w:val="0"/>
          <w:lang w:val="fr-FR"/>
        </w:rPr>
        <w:fldChar w:fldCharType="begin"/>
      </w:r>
      <w:r w:rsidR="00BC2FE7" w:rsidRPr="007F3E67">
        <w:rPr>
          <w:snapToGrid w:val="0"/>
          <w:lang w:val="fr-FR"/>
        </w:rPr>
        <w:instrText xml:space="preserve"> REF qualité_victime_fin \h </w:instrText>
      </w:r>
      <w:r w:rsidR="007E235C" w:rsidRPr="007F3E67">
        <w:rPr>
          <w:snapToGrid w:val="0"/>
          <w:lang w:val="fr-FR"/>
        </w:rPr>
        <w:instrText xml:space="preserve"> \* MERGEFORMAT </w:instrText>
      </w:r>
      <w:r w:rsidR="00BC2FE7" w:rsidRPr="007F3E67">
        <w:rPr>
          <w:snapToGrid w:val="0"/>
          <w:lang w:val="fr-FR"/>
        </w:rPr>
      </w:r>
      <w:r w:rsidR="00BC2FE7" w:rsidRPr="007F3E67">
        <w:rPr>
          <w:snapToGrid w:val="0"/>
          <w:lang w:val="fr-FR"/>
        </w:rPr>
        <w:fldChar w:fldCharType="separate"/>
      </w:r>
      <w:r w:rsidR="007F3E67" w:rsidRPr="007F3E67">
        <w:rPr>
          <w:noProof/>
          <w:lang w:val="fr-FR"/>
        </w:rPr>
        <w:t>98</w:t>
      </w:r>
      <w:r w:rsidR="00BC2FE7" w:rsidRPr="007F3E67">
        <w:rPr>
          <w:snapToGrid w:val="0"/>
          <w:lang w:val="fr-FR"/>
        </w:rPr>
        <w:fldChar w:fldCharType="end"/>
      </w:r>
      <w:r w:rsidR="00BD53E5" w:rsidRPr="007F3E67">
        <w:rPr>
          <w:snapToGrid w:val="0"/>
          <w:lang w:val="fr-FR"/>
        </w:rPr>
        <w:t xml:space="preserve"> </w:t>
      </w:r>
      <w:r w:rsidR="00A66F7F" w:rsidRPr="007F3E67">
        <w:rPr>
          <w:snapToGrid w:val="0"/>
          <w:lang w:val="fr-FR"/>
        </w:rPr>
        <w:t>ci-dessus) que l</w:t>
      </w:r>
      <w:r w:rsidR="007F3E67" w:rsidRPr="007F3E67">
        <w:rPr>
          <w:snapToGrid w:val="0"/>
          <w:lang w:val="fr-FR"/>
        </w:rPr>
        <w:t>’</w:t>
      </w:r>
      <w:r w:rsidR="00A66F7F" w:rsidRPr="007F3E67">
        <w:rPr>
          <w:snapToGrid w:val="0"/>
          <w:lang w:val="fr-FR"/>
        </w:rPr>
        <w:t>exception préliminaire tirée du non-épuisement des voies de</w:t>
      </w:r>
      <w:r w:rsidR="00BC2FE7" w:rsidRPr="007F3E67">
        <w:rPr>
          <w:snapToGrid w:val="0"/>
          <w:lang w:val="fr-FR"/>
        </w:rPr>
        <w:t xml:space="preserve"> recours internes</w:t>
      </w:r>
      <w:r w:rsidR="00540E55" w:rsidRPr="007F3E67">
        <w:rPr>
          <w:snapToGrid w:val="0"/>
          <w:lang w:val="fr-FR"/>
        </w:rPr>
        <w:t xml:space="preserve"> en matière civile</w:t>
      </w:r>
      <w:r w:rsidR="00BC2FE7" w:rsidRPr="007F3E67">
        <w:rPr>
          <w:snapToGrid w:val="0"/>
          <w:lang w:val="fr-FR"/>
        </w:rPr>
        <w:t xml:space="preserve"> (paragraphe</w:t>
      </w:r>
      <w:r w:rsidR="00540E55" w:rsidRPr="007F3E67">
        <w:rPr>
          <w:snapToGrid w:val="0"/>
          <w:lang w:val="fr-FR"/>
        </w:rPr>
        <w:t xml:space="preserve">s </w:t>
      </w:r>
      <w:r w:rsidR="00BC2FE7" w:rsidRPr="007F3E67">
        <w:rPr>
          <w:snapToGrid w:val="0"/>
          <w:lang w:val="fr-FR"/>
        </w:rPr>
        <w:fldChar w:fldCharType="begin"/>
      </w:r>
      <w:r w:rsidR="00BC2FE7" w:rsidRPr="007F3E67">
        <w:rPr>
          <w:snapToGrid w:val="0"/>
          <w:lang w:val="fr-FR"/>
        </w:rPr>
        <w:instrText xml:space="preserve"> REF non_epuisement_voie_civile \h </w:instrText>
      </w:r>
      <w:r w:rsidR="007E235C" w:rsidRPr="007F3E67">
        <w:rPr>
          <w:snapToGrid w:val="0"/>
          <w:lang w:val="fr-FR"/>
        </w:rPr>
        <w:instrText xml:space="preserve"> \* MERGEFORMAT </w:instrText>
      </w:r>
      <w:r w:rsidR="00BC2FE7" w:rsidRPr="007F3E67">
        <w:rPr>
          <w:snapToGrid w:val="0"/>
          <w:lang w:val="fr-FR"/>
        </w:rPr>
      </w:r>
      <w:r w:rsidR="00BC2FE7" w:rsidRPr="007F3E67">
        <w:rPr>
          <w:snapToGrid w:val="0"/>
          <w:lang w:val="fr-FR"/>
        </w:rPr>
        <w:fldChar w:fldCharType="separate"/>
      </w:r>
      <w:r w:rsidR="007F3E67" w:rsidRPr="007F3E67">
        <w:rPr>
          <w:noProof/>
          <w:lang w:val="fr-FR"/>
        </w:rPr>
        <w:t>109</w:t>
      </w:r>
      <w:r w:rsidR="00BC2FE7" w:rsidRPr="007F3E67">
        <w:rPr>
          <w:snapToGrid w:val="0"/>
          <w:lang w:val="fr-FR"/>
        </w:rPr>
        <w:fldChar w:fldCharType="end"/>
      </w:r>
      <w:r w:rsidR="00BC2FE7" w:rsidRPr="007F3E67">
        <w:rPr>
          <w:snapToGrid w:val="0"/>
          <w:lang w:val="fr-FR"/>
        </w:rPr>
        <w:t>-</w:t>
      </w:r>
      <w:r w:rsidR="00BC2FE7" w:rsidRPr="007F3E67">
        <w:rPr>
          <w:snapToGrid w:val="0"/>
          <w:lang w:val="fr-FR"/>
        </w:rPr>
        <w:fldChar w:fldCharType="begin"/>
      </w:r>
      <w:r w:rsidR="00BC2FE7" w:rsidRPr="007F3E67">
        <w:rPr>
          <w:snapToGrid w:val="0"/>
          <w:lang w:val="fr-FR"/>
        </w:rPr>
        <w:instrText xml:space="preserve"> REF non_epuisement_voie_civile_fin \h </w:instrText>
      </w:r>
      <w:r w:rsidR="007E235C" w:rsidRPr="007F3E67">
        <w:rPr>
          <w:snapToGrid w:val="0"/>
          <w:lang w:val="fr-FR"/>
        </w:rPr>
        <w:instrText xml:space="preserve"> \* MERGEFORMAT </w:instrText>
      </w:r>
      <w:r w:rsidR="00BC2FE7" w:rsidRPr="007F3E67">
        <w:rPr>
          <w:snapToGrid w:val="0"/>
          <w:lang w:val="fr-FR"/>
        </w:rPr>
      </w:r>
      <w:r w:rsidR="00BC2FE7" w:rsidRPr="007F3E67">
        <w:rPr>
          <w:snapToGrid w:val="0"/>
          <w:lang w:val="fr-FR"/>
        </w:rPr>
        <w:fldChar w:fldCharType="separate"/>
      </w:r>
      <w:r w:rsidR="007F3E67" w:rsidRPr="007F3E67">
        <w:rPr>
          <w:noProof/>
          <w:lang w:val="fr-FR"/>
        </w:rPr>
        <w:t>117</w:t>
      </w:r>
      <w:r w:rsidR="00BC2FE7" w:rsidRPr="007F3E67">
        <w:rPr>
          <w:snapToGrid w:val="0"/>
          <w:lang w:val="fr-FR"/>
        </w:rPr>
        <w:fldChar w:fldCharType="end"/>
      </w:r>
      <w:r w:rsidR="00A66F7F" w:rsidRPr="007F3E67">
        <w:rPr>
          <w:snapToGrid w:val="0"/>
          <w:lang w:val="fr-FR"/>
        </w:rPr>
        <w:t xml:space="preserve"> ci-dessus</w:t>
      </w:r>
      <w:r w:rsidR="001B66DA" w:rsidRPr="007F3E67">
        <w:rPr>
          <w:snapToGrid w:val="0"/>
          <w:lang w:val="fr-FR"/>
        </w:rPr>
        <w:t xml:space="preserve"> ; </w:t>
      </w:r>
      <w:r w:rsidR="001B66DA" w:rsidRPr="007F3E67">
        <w:rPr>
          <w:i/>
          <w:snapToGrid w:val="0"/>
          <w:lang w:val="fr-FR"/>
        </w:rPr>
        <w:t>Cestaro</w:t>
      </w:r>
      <w:r w:rsidR="001B66DA" w:rsidRPr="007F3E67">
        <w:rPr>
          <w:snapToGrid w:val="0"/>
          <w:lang w:val="fr-FR"/>
        </w:rPr>
        <w:t>, précité, §§ 229-236)</w:t>
      </w:r>
      <w:r w:rsidR="00BC2FE7" w:rsidRPr="007F3E67">
        <w:rPr>
          <w:snapToGrid w:val="0"/>
          <w:lang w:val="fr-FR"/>
        </w:rPr>
        <w:t>.</w:t>
      </w:r>
    </w:p>
    <w:p w:rsidR="00E77CB3" w:rsidRPr="007F3E67" w:rsidRDefault="00455811" w:rsidP="007F3E67">
      <w:pPr>
        <w:pStyle w:val="ECHRHeading1"/>
        <w:rPr>
          <w:lang w:val="fr-FR"/>
        </w:rPr>
      </w:pPr>
      <w:r w:rsidRPr="007F3E67">
        <w:rPr>
          <w:lang w:val="fr-FR"/>
        </w:rPr>
        <w:t>II</w:t>
      </w:r>
      <w:r w:rsidR="00E77CB3" w:rsidRPr="007F3E67">
        <w:rPr>
          <w:lang w:val="fr-FR"/>
        </w:rPr>
        <w:t>.  SUR L</w:t>
      </w:r>
      <w:r w:rsidR="007F3E67" w:rsidRPr="007F3E67">
        <w:rPr>
          <w:lang w:val="fr-FR"/>
        </w:rPr>
        <w:t>’</w:t>
      </w:r>
      <w:r w:rsidR="00E77CB3" w:rsidRPr="007F3E67">
        <w:rPr>
          <w:lang w:val="fr-FR"/>
        </w:rPr>
        <w:t>APPLICATION DE L</w:t>
      </w:r>
      <w:r w:rsidR="007F3E67" w:rsidRPr="007F3E67">
        <w:rPr>
          <w:lang w:val="fr-FR"/>
        </w:rPr>
        <w:t>’</w:t>
      </w:r>
      <w:r w:rsidR="00E77CB3" w:rsidRPr="007F3E67">
        <w:rPr>
          <w:lang w:val="fr-FR"/>
        </w:rPr>
        <w:t>ARTICLE 41 DE LA CONVENTION</w:t>
      </w:r>
    </w:p>
    <w:p w:rsidR="00E77CB3" w:rsidRPr="007F3E67" w:rsidRDefault="00E235F1" w:rsidP="007F3E67">
      <w:pPr>
        <w:pStyle w:val="ECHRPara"/>
        <w:rPr>
          <w:lang w:val="fr-FR"/>
        </w:rPr>
      </w:pPr>
      <w:r w:rsidRPr="007F3E67">
        <w:rPr>
          <w:lang w:val="fr-FR"/>
        </w:rPr>
        <w:fldChar w:fldCharType="begin"/>
      </w:r>
      <w:r w:rsidRPr="007F3E67">
        <w:rPr>
          <w:lang w:val="fr-FR"/>
        </w:rPr>
        <w:instrText xml:space="preserve"> SEQ level0 \*arabic </w:instrText>
      </w:r>
      <w:r w:rsidRPr="007F3E67">
        <w:rPr>
          <w:lang w:val="fr-FR"/>
        </w:rPr>
        <w:fldChar w:fldCharType="separate"/>
      </w:r>
      <w:r w:rsidR="007F3E67" w:rsidRPr="007F3E67">
        <w:rPr>
          <w:noProof/>
          <w:lang w:val="fr-FR"/>
        </w:rPr>
        <w:t>166</w:t>
      </w:r>
      <w:r w:rsidRPr="007F3E67">
        <w:rPr>
          <w:lang w:val="fr-FR"/>
        </w:rPr>
        <w:fldChar w:fldCharType="end"/>
      </w:r>
      <w:r w:rsidR="00E77CB3" w:rsidRPr="007F3E67">
        <w:rPr>
          <w:lang w:val="fr-FR"/>
        </w:rPr>
        <w:t>.  Aux termes de l</w:t>
      </w:r>
      <w:r w:rsidR="007F3E67" w:rsidRPr="007F3E67">
        <w:rPr>
          <w:lang w:val="fr-FR"/>
        </w:rPr>
        <w:t>’</w:t>
      </w:r>
      <w:r w:rsidR="00E77CB3" w:rsidRPr="007F3E67">
        <w:rPr>
          <w:lang w:val="fr-FR"/>
        </w:rPr>
        <w:t>article 41 de la Convention,</w:t>
      </w:r>
    </w:p>
    <w:p w:rsidR="00E77CB3" w:rsidRPr="007F3E67" w:rsidRDefault="00E77CB3" w:rsidP="007F3E67">
      <w:pPr>
        <w:pStyle w:val="ECHRParaQuote"/>
        <w:keepNext/>
        <w:keepLines/>
        <w:rPr>
          <w:lang w:val="fr-FR"/>
        </w:rPr>
      </w:pPr>
      <w:r w:rsidRPr="007F3E67">
        <w:rPr>
          <w:lang w:val="fr-FR"/>
        </w:rPr>
        <w:t>« Si la Cour déclare qu</w:t>
      </w:r>
      <w:r w:rsidR="007F3E67" w:rsidRPr="007F3E67">
        <w:rPr>
          <w:lang w:val="fr-FR"/>
        </w:rPr>
        <w:t>’</w:t>
      </w:r>
      <w:r w:rsidRPr="007F3E67">
        <w:rPr>
          <w:lang w:val="fr-FR"/>
        </w:rPr>
        <w:t>il y a eu violation de la Convention ou de ses Protocoles, et si le droit interne de la Haute Partie contractante ne permet d</w:t>
      </w:r>
      <w:r w:rsidR="007F3E67" w:rsidRPr="007F3E67">
        <w:rPr>
          <w:lang w:val="fr-FR"/>
        </w:rPr>
        <w:t>’</w:t>
      </w:r>
      <w:r w:rsidRPr="007F3E67">
        <w:rPr>
          <w:lang w:val="fr-FR"/>
        </w:rPr>
        <w:t>effacer qu</w:t>
      </w:r>
      <w:r w:rsidR="007F3E67" w:rsidRPr="007F3E67">
        <w:rPr>
          <w:lang w:val="fr-FR"/>
        </w:rPr>
        <w:t>’</w:t>
      </w:r>
      <w:r w:rsidRPr="007F3E67">
        <w:rPr>
          <w:lang w:val="fr-FR"/>
        </w:rPr>
        <w:t>imparfaitement les conséquences de cette violation, la Cour accorde à la partie lésée, s</w:t>
      </w:r>
      <w:r w:rsidR="007F3E67" w:rsidRPr="007F3E67">
        <w:rPr>
          <w:lang w:val="fr-FR"/>
        </w:rPr>
        <w:t>’</w:t>
      </w:r>
      <w:r w:rsidRPr="007F3E67">
        <w:rPr>
          <w:lang w:val="fr-FR"/>
        </w:rPr>
        <w:t>il y a lieu, une satisfaction équitable. »</w:t>
      </w:r>
    </w:p>
    <w:p w:rsidR="00E77CB3" w:rsidRPr="007F3E67" w:rsidRDefault="00E77CB3" w:rsidP="007F3E67">
      <w:pPr>
        <w:pStyle w:val="ECHRHeading2"/>
        <w:rPr>
          <w:lang w:val="fr-FR"/>
        </w:rPr>
      </w:pPr>
      <w:r w:rsidRPr="007F3E67">
        <w:rPr>
          <w:lang w:val="fr-FR"/>
        </w:rPr>
        <w:t>A.  Dommage</w:t>
      </w:r>
    </w:p>
    <w:p w:rsidR="00E77CB3" w:rsidRPr="007F3E67" w:rsidRDefault="00E235F1" w:rsidP="007F3E67">
      <w:pPr>
        <w:pStyle w:val="ECHRPara"/>
        <w:rPr>
          <w:lang w:val="fr-FR"/>
        </w:rPr>
      </w:pPr>
      <w:r w:rsidRPr="007F3E67">
        <w:rPr>
          <w:lang w:val="fr-FR"/>
        </w:rPr>
        <w:fldChar w:fldCharType="begin"/>
      </w:r>
      <w:r w:rsidRPr="007F3E67">
        <w:rPr>
          <w:lang w:val="fr-FR"/>
        </w:rPr>
        <w:instrText xml:space="preserve"> SEQ level0 \*arabic </w:instrText>
      </w:r>
      <w:r w:rsidRPr="007F3E67">
        <w:rPr>
          <w:lang w:val="fr-FR"/>
        </w:rPr>
        <w:fldChar w:fldCharType="separate"/>
      </w:r>
      <w:r w:rsidR="007F3E67" w:rsidRPr="007F3E67">
        <w:rPr>
          <w:noProof/>
          <w:lang w:val="fr-FR"/>
        </w:rPr>
        <w:t>167</w:t>
      </w:r>
      <w:r w:rsidRPr="007F3E67">
        <w:rPr>
          <w:lang w:val="fr-FR"/>
        </w:rPr>
        <w:fldChar w:fldCharType="end"/>
      </w:r>
      <w:r w:rsidR="00E77CB3" w:rsidRPr="007F3E67">
        <w:rPr>
          <w:lang w:val="fr-FR"/>
        </w:rPr>
        <w:t>.  </w:t>
      </w:r>
      <w:r w:rsidR="00426271" w:rsidRPr="007F3E67">
        <w:rPr>
          <w:lang w:val="fr-FR"/>
        </w:rPr>
        <w:t>Les requérants de la requête n</w:t>
      </w:r>
      <w:r w:rsidR="00301040" w:rsidRPr="007F3E67">
        <w:rPr>
          <w:vertAlign w:val="superscript"/>
          <w:lang w:val="fr-FR"/>
        </w:rPr>
        <w:t>o</w:t>
      </w:r>
      <w:r w:rsidR="00426271" w:rsidRPr="007F3E67">
        <w:rPr>
          <w:lang w:val="fr-FR"/>
        </w:rPr>
        <w:t xml:space="preserve"> 28923/09</w:t>
      </w:r>
      <w:r w:rsidR="00E77CB3" w:rsidRPr="007F3E67">
        <w:rPr>
          <w:lang w:val="fr-FR"/>
        </w:rPr>
        <w:t xml:space="preserve"> réclame</w:t>
      </w:r>
      <w:r w:rsidRPr="007F3E67">
        <w:rPr>
          <w:lang w:val="fr-FR"/>
        </w:rPr>
        <w:t>nt</w:t>
      </w:r>
      <w:r w:rsidR="00E77CB3" w:rsidRPr="007F3E67">
        <w:rPr>
          <w:lang w:val="fr-FR"/>
        </w:rPr>
        <w:t xml:space="preserve"> </w:t>
      </w:r>
      <w:r w:rsidR="00426271" w:rsidRPr="007F3E67">
        <w:rPr>
          <w:lang w:val="fr-FR"/>
        </w:rPr>
        <w:t>150 000</w:t>
      </w:r>
      <w:r w:rsidR="00E77CB3" w:rsidRPr="007F3E67">
        <w:rPr>
          <w:lang w:val="fr-FR"/>
        </w:rPr>
        <w:t xml:space="preserve"> EUR </w:t>
      </w:r>
      <w:r w:rsidR="00AF72F3" w:rsidRPr="007F3E67">
        <w:rPr>
          <w:lang w:val="fr-FR"/>
        </w:rPr>
        <w:t xml:space="preserve">chacun </w:t>
      </w:r>
      <w:r w:rsidR="00E77CB3" w:rsidRPr="007F3E67">
        <w:rPr>
          <w:lang w:val="fr-FR"/>
        </w:rPr>
        <w:t>au titre du préjudice matériel et moral qu</w:t>
      </w:r>
      <w:r w:rsidR="007F3E67" w:rsidRPr="007F3E67">
        <w:rPr>
          <w:lang w:val="fr-FR"/>
        </w:rPr>
        <w:t>’</w:t>
      </w:r>
      <w:r w:rsidRPr="007F3E67">
        <w:rPr>
          <w:lang w:val="fr-FR"/>
        </w:rPr>
        <w:t>ils</w:t>
      </w:r>
      <w:r w:rsidR="00E77CB3" w:rsidRPr="007F3E67">
        <w:rPr>
          <w:lang w:val="fr-FR"/>
        </w:rPr>
        <w:t xml:space="preserve"> </w:t>
      </w:r>
      <w:r w:rsidR="00AF72F3" w:rsidRPr="007F3E67">
        <w:rPr>
          <w:lang w:val="fr-FR"/>
        </w:rPr>
        <w:t>estiment avoir</w:t>
      </w:r>
      <w:r w:rsidR="00E77CB3" w:rsidRPr="007F3E67">
        <w:rPr>
          <w:lang w:val="fr-FR"/>
        </w:rPr>
        <w:t xml:space="preserve"> subi</w:t>
      </w:r>
      <w:r w:rsidR="001403E9" w:rsidRPr="007F3E67">
        <w:rPr>
          <w:lang w:val="fr-FR"/>
        </w:rPr>
        <w:t>,</w:t>
      </w:r>
      <w:r w:rsidR="00286985" w:rsidRPr="007F3E67">
        <w:rPr>
          <w:lang w:val="fr-FR"/>
        </w:rPr>
        <w:t xml:space="preserve"> tandis que les requérants de la requête n</w:t>
      </w:r>
      <w:r w:rsidR="00301040" w:rsidRPr="007F3E67">
        <w:rPr>
          <w:vertAlign w:val="superscript"/>
          <w:lang w:val="fr-FR"/>
        </w:rPr>
        <w:t>o</w:t>
      </w:r>
      <w:r w:rsidR="00286985" w:rsidRPr="007F3E67">
        <w:rPr>
          <w:lang w:val="fr-FR"/>
        </w:rPr>
        <w:t xml:space="preserve"> 67599/10 (notamment les requérants figurant sous les numéros 1-4, 6-8, 12</w:t>
      </w:r>
      <w:r w:rsidR="00E610DF" w:rsidRPr="007F3E67">
        <w:rPr>
          <w:lang w:val="fr-FR"/>
        </w:rPr>
        <w:t xml:space="preserve">, </w:t>
      </w:r>
      <w:r w:rsidR="00286985" w:rsidRPr="007F3E67">
        <w:rPr>
          <w:lang w:val="fr-FR"/>
        </w:rPr>
        <w:t>13, 15</w:t>
      </w:r>
      <w:r w:rsidR="00E610DF" w:rsidRPr="007F3E67">
        <w:rPr>
          <w:lang w:val="fr-FR"/>
        </w:rPr>
        <w:t xml:space="preserve">, </w:t>
      </w:r>
      <w:r w:rsidR="00286985" w:rsidRPr="007F3E67">
        <w:rPr>
          <w:lang w:val="fr-FR"/>
        </w:rPr>
        <w:t>1</w:t>
      </w:r>
      <w:r w:rsidR="00030056" w:rsidRPr="007F3E67">
        <w:rPr>
          <w:lang w:val="fr-FR"/>
        </w:rPr>
        <w:t>6</w:t>
      </w:r>
      <w:r w:rsidR="00E610DF" w:rsidRPr="007F3E67">
        <w:rPr>
          <w:lang w:val="fr-FR"/>
        </w:rPr>
        <w:t xml:space="preserve"> et</w:t>
      </w:r>
      <w:r w:rsidR="00030056" w:rsidRPr="007F3E67">
        <w:rPr>
          <w:lang w:val="fr-FR"/>
        </w:rPr>
        <w:t xml:space="preserve"> 19 dans la liste en annexe</w:t>
      </w:r>
      <w:r w:rsidR="00286985" w:rsidRPr="007F3E67">
        <w:rPr>
          <w:lang w:val="fr-FR"/>
        </w:rPr>
        <w:t>) s</w:t>
      </w:r>
      <w:r w:rsidR="007F3E67" w:rsidRPr="007F3E67">
        <w:rPr>
          <w:lang w:val="fr-FR"/>
        </w:rPr>
        <w:t>’</w:t>
      </w:r>
      <w:r w:rsidR="00286985" w:rsidRPr="007F3E67">
        <w:rPr>
          <w:lang w:val="fr-FR"/>
        </w:rPr>
        <w:t>en remettent à l</w:t>
      </w:r>
      <w:r w:rsidR="007F3E67" w:rsidRPr="007F3E67">
        <w:rPr>
          <w:lang w:val="fr-FR"/>
        </w:rPr>
        <w:t>’</w:t>
      </w:r>
      <w:r w:rsidR="00286985" w:rsidRPr="007F3E67">
        <w:rPr>
          <w:lang w:val="fr-FR"/>
        </w:rPr>
        <w:t>appréciation de la Cour.</w:t>
      </w:r>
    </w:p>
    <w:p w:rsidR="00301040" w:rsidRPr="007F3E67" w:rsidRDefault="00E235F1" w:rsidP="007F3E67">
      <w:pPr>
        <w:pStyle w:val="ECHRPara"/>
        <w:rPr>
          <w:lang w:val="fr-FR"/>
        </w:rPr>
      </w:pPr>
      <w:r w:rsidRPr="007F3E67">
        <w:rPr>
          <w:lang w:val="fr-FR"/>
        </w:rPr>
        <w:fldChar w:fldCharType="begin"/>
      </w:r>
      <w:r w:rsidRPr="007F3E67">
        <w:rPr>
          <w:lang w:val="fr-FR"/>
        </w:rPr>
        <w:instrText xml:space="preserve"> SEQ level0 \*arabic </w:instrText>
      </w:r>
      <w:r w:rsidRPr="007F3E67">
        <w:rPr>
          <w:lang w:val="fr-FR"/>
        </w:rPr>
        <w:fldChar w:fldCharType="separate"/>
      </w:r>
      <w:r w:rsidR="007F3E67" w:rsidRPr="007F3E67">
        <w:rPr>
          <w:noProof/>
          <w:lang w:val="fr-FR"/>
        </w:rPr>
        <w:t>168</w:t>
      </w:r>
      <w:r w:rsidRPr="007F3E67">
        <w:rPr>
          <w:lang w:val="fr-FR"/>
        </w:rPr>
        <w:fldChar w:fldCharType="end"/>
      </w:r>
      <w:r w:rsidR="00E77CB3" w:rsidRPr="007F3E67">
        <w:rPr>
          <w:lang w:val="fr-FR"/>
        </w:rPr>
        <w:t xml:space="preserve">.  Le Gouvernement </w:t>
      </w:r>
      <w:r w:rsidR="00286985" w:rsidRPr="007F3E67">
        <w:rPr>
          <w:lang w:val="fr-FR"/>
        </w:rPr>
        <w:t>conteste ces prétentions</w:t>
      </w:r>
      <w:r w:rsidR="005E0D08" w:rsidRPr="007F3E67">
        <w:rPr>
          <w:lang w:val="fr-FR"/>
        </w:rPr>
        <w:t xml:space="preserve"> et invite la Cour à </w:t>
      </w:r>
      <w:r w:rsidR="001403E9" w:rsidRPr="007F3E67">
        <w:rPr>
          <w:lang w:val="fr-FR"/>
        </w:rPr>
        <w:t>déclarer qu</w:t>
      </w:r>
      <w:r w:rsidR="007F3E67" w:rsidRPr="007F3E67">
        <w:rPr>
          <w:lang w:val="fr-FR"/>
        </w:rPr>
        <w:t>’</w:t>
      </w:r>
      <w:r w:rsidR="001403E9" w:rsidRPr="007F3E67">
        <w:rPr>
          <w:lang w:val="fr-FR"/>
        </w:rPr>
        <w:t xml:space="preserve">un </w:t>
      </w:r>
      <w:r w:rsidR="005E0D08" w:rsidRPr="007F3E67">
        <w:rPr>
          <w:lang w:val="fr-FR"/>
        </w:rPr>
        <w:t xml:space="preserve">constat de violation </w:t>
      </w:r>
      <w:r w:rsidR="001403E9" w:rsidRPr="007F3E67">
        <w:rPr>
          <w:lang w:val="fr-FR"/>
        </w:rPr>
        <w:t>fournirait une satisfaction équitable suffisante</w:t>
      </w:r>
      <w:r w:rsidR="00286985" w:rsidRPr="007F3E67">
        <w:rPr>
          <w:lang w:val="fr-FR"/>
        </w:rPr>
        <w:t>.</w:t>
      </w:r>
      <w:r w:rsidR="005E0D08" w:rsidRPr="007F3E67">
        <w:rPr>
          <w:lang w:val="fr-FR"/>
        </w:rPr>
        <w:t xml:space="preserve"> À titre subsidiaire, il critique le montant réclamé par les requérants</w:t>
      </w:r>
      <w:r w:rsidR="00121782" w:rsidRPr="007F3E67">
        <w:rPr>
          <w:lang w:val="fr-FR"/>
        </w:rPr>
        <w:t>,</w:t>
      </w:r>
      <w:r w:rsidR="001403E9" w:rsidRPr="007F3E67">
        <w:rPr>
          <w:lang w:val="fr-FR"/>
        </w:rPr>
        <w:t xml:space="preserve"> qu</w:t>
      </w:r>
      <w:r w:rsidR="007F3E67" w:rsidRPr="007F3E67">
        <w:rPr>
          <w:lang w:val="fr-FR"/>
        </w:rPr>
        <w:t>’</w:t>
      </w:r>
      <w:r w:rsidR="001403E9" w:rsidRPr="007F3E67">
        <w:rPr>
          <w:lang w:val="fr-FR"/>
        </w:rPr>
        <w:t>il estime</w:t>
      </w:r>
      <w:r w:rsidR="005E0D08" w:rsidRPr="007F3E67">
        <w:rPr>
          <w:lang w:val="fr-FR"/>
        </w:rPr>
        <w:t xml:space="preserve"> disproportionné</w:t>
      </w:r>
      <w:r w:rsidR="00121782" w:rsidRPr="007F3E67">
        <w:rPr>
          <w:lang w:val="fr-FR"/>
        </w:rPr>
        <w:t>,</w:t>
      </w:r>
      <w:r w:rsidR="005E0D08" w:rsidRPr="007F3E67">
        <w:rPr>
          <w:lang w:val="fr-FR"/>
        </w:rPr>
        <w:t xml:space="preserve"> et demande à la </w:t>
      </w:r>
      <w:r w:rsidR="00286985" w:rsidRPr="007F3E67">
        <w:rPr>
          <w:lang w:val="fr-FR"/>
        </w:rPr>
        <w:t xml:space="preserve">Cour </w:t>
      </w:r>
      <w:r w:rsidR="005E0D08" w:rsidRPr="007F3E67">
        <w:rPr>
          <w:lang w:val="fr-FR"/>
        </w:rPr>
        <w:t>de</w:t>
      </w:r>
      <w:r w:rsidR="00286985" w:rsidRPr="007F3E67">
        <w:rPr>
          <w:lang w:val="fr-FR"/>
        </w:rPr>
        <w:t xml:space="preserve"> tenir compte</w:t>
      </w:r>
      <w:r w:rsidR="005E0D08" w:rsidRPr="007F3E67">
        <w:rPr>
          <w:lang w:val="fr-FR"/>
        </w:rPr>
        <w:t xml:space="preserve"> des sommes provisionnelles qui </w:t>
      </w:r>
      <w:r w:rsidR="001403E9" w:rsidRPr="007F3E67">
        <w:rPr>
          <w:lang w:val="fr-FR"/>
        </w:rPr>
        <w:t xml:space="preserve">ont </w:t>
      </w:r>
      <w:r w:rsidR="005E0D08" w:rsidRPr="007F3E67">
        <w:rPr>
          <w:lang w:val="fr-FR"/>
        </w:rPr>
        <w:t xml:space="preserve">été </w:t>
      </w:r>
      <w:r w:rsidR="00286985" w:rsidRPr="007F3E67">
        <w:rPr>
          <w:lang w:val="fr-FR"/>
        </w:rPr>
        <w:t>versées aux requérants</w:t>
      </w:r>
      <w:r w:rsidR="005E0D08" w:rsidRPr="007F3E67">
        <w:rPr>
          <w:lang w:val="fr-FR"/>
        </w:rPr>
        <w:t xml:space="preserve"> en leur qualité de</w:t>
      </w:r>
      <w:r w:rsidR="00286985" w:rsidRPr="007F3E67">
        <w:rPr>
          <w:lang w:val="fr-FR"/>
        </w:rPr>
        <w:t xml:space="preserve"> parties civiles à la procédure pénale</w:t>
      </w:r>
      <w:r w:rsidR="00FA14C8" w:rsidRPr="007F3E67">
        <w:rPr>
          <w:lang w:val="fr-FR"/>
        </w:rPr>
        <w:t>.</w:t>
      </w:r>
    </w:p>
    <w:p w:rsidR="007A7EBE" w:rsidRPr="007F3E67" w:rsidRDefault="00E235F1" w:rsidP="007F3E67">
      <w:pPr>
        <w:pStyle w:val="ECHRPara"/>
        <w:rPr>
          <w:lang w:val="fr-FR"/>
        </w:rPr>
      </w:pPr>
      <w:r w:rsidRPr="007F3E67">
        <w:rPr>
          <w:lang w:val="fr-FR"/>
        </w:rPr>
        <w:fldChar w:fldCharType="begin"/>
      </w:r>
      <w:r w:rsidRPr="007F3E67">
        <w:rPr>
          <w:lang w:val="fr-FR"/>
        </w:rPr>
        <w:instrText xml:space="preserve"> SEQ level0 \*arabic </w:instrText>
      </w:r>
      <w:r w:rsidRPr="007F3E67">
        <w:rPr>
          <w:lang w:val="fr-FR"/>
        </w:rPr>
        <w:fldChar w:fldCharType="separate"/>
      </w:r>
      <w:r w:rsidR="007F3E67" w:rsidRPr="007F3E67">
        <w:rPr>
          <w:noProof/>
          <w:lang w:val="fr-FR"/>
        </w:rPr>
        <w:t>169</w:t>
      </w:r>
      <w:r w:rsidRPr="007F3E67">
        <w:rPr>
          <w:lang w:val="fr-FR"/>
        </w:rPr>
        <w:fldChar w:fldCharType="end"/>
      </w:r>
      <w:r w:rsidR="00E77CB3" w:rsidRPr="007F3E67">
        <w:rPr>
          <w:lang w:val="fr-FR"/>
        </w:rPr>
        <w:t>.  </w:t>
      </w:r>
      <w:r w:rsidR="00FF4DD3" w:rsidRPr="007F3E67">
        <w:rPr>
          <w:lang w:val="fr-FR"/>
        </w:rPr>
        <w:t>La Cour relève que les requérants n</w:t>
      </w:r>
      <w:r w:rsidR="007F3E67" w:rsidRPr="007F3E67">
        <w:rPr>
          <w:lang w:val="fr-FR"/>
        </w:rPr>
        <w:t>’</w:t>
      </w:r>
      <w:r w:rsidR="00FF4DD3" w:rsidRPr="007F3E67">
        <w:rPr>
          <w:lang w:val="fr-FR"/>
        </w:rPr>
        <w:t>ont pas étayé suffisamment leurs prétentions pour que le lien de causalité nécessaire entre la violation constatée et le dommage matériel allégué pût être établi. Elle rejette par conséquent cette partie de la demande (</w:t>
      </w:r>
      <w:r w:rsidR="00FF4DD3" w:rsidRPr="007F3E67">
        <w:rPr>
          <w:i/>
          <w:lang w:val="fr-FR"/>
        </w:rPr>
        <w:t>Eğitim ve Bilim Emekçileri Sendikası</w:t>
      </w:r>
      <w:r w:rsidR="00FF4DD3" w:rsidRPr="007F3E67">
        <w:rPr>
          <w:lang w:val="fr-FR"/>
        </w:rPr>
        <w:t xml:space="preserve"> </w:t>
      </w:r>
      <w:r w:rsidR="00FF4DD3" w:rsidRPr="007F3E67">
        <w:rPr>
          <w:i/>
          <w:lang w:val="fr-FR"/>
        </w:rPr>
        <w:t>et autres c. Turquie</w:t>
      </w:r>
      <w:r w:rsidR="00FF4DD3" w:rsidRPr="007F3E67">
        <w:rPr>
          <w:lang w:val="fr-FR"/>
        </w:rPr>
        <w:t>, n</w:t>
      </w:r>
      <w:r w:rsidR="00FF4DD3" w:rsidRPr="007F3E67">
        <w:rPr>
          <w:vertAlign w:val="superscript"/>
          <w:lang w:val="fr-FR"/>
        </w:rPr>
        <w:t>o</w:t>
      </w:r>
      <w:r w:rsidR="00FF4DD3" w:rsidRPr="007F3E67">
        <w:rPr>
          <w:lang w:val="fr-FR"/>
        </w:rPr>
        <w:t> 20347/07</w:t>
      </w:r>
      <w:r w:rsidR="00FF4DD3" w:rsidRPr="007F3E67">
        <w:rPr>
          <w:snapToGrid w:val="0"/>
          <w:lang w:val="fr-FR"/>
        </w:rPr>
        <w:t xml:space="preserve">, § 116, 5 </w:t>
      </w:r>
      <w:r w:rsidR="00FF4DD3" w:rsidRPr="007F3E67">
        <w:rPr>
          <w:lang w:val="fr-FR"/>
        </w:rPr>
        <w:t>juillet</w:t>
      </w:r>
      <w:r w:rsidR="00FF4DD3" w:rsidRPr="007F3E67">
        <w:rPr>
          <w:snapToGrid w:val="0"/>
          <w:lang w:val="fr-FR"/>
        </w:rPr>
        <w:t xml:space="preserve"> 2016)</w:t>
      </w:r>
      <w:r w:rsidR="00FF4DD3" w:rsidRPr="007F3E67">
        <w:rPr>
          <w:lang w:val="fr-FR"/>
        </w:rPr>
        <w:t>.</w:t>
      </w:r>
    </w:p>
    <w:p w:rsidR="00301040" w:rsidRPr="007F3E67" w:rsidRDefault="00000524" w:rsidP="007F3E67">
      <w:pPr>
        <w:pStyle w:val="ECHRPara"/>
        <w:rPr>
          <w:lang w:val="fr-FR"/>
        </w:rPr>
      </w:pPr>
      <w:r w:rsidRPr="007F3E67">
        <w:rPr>
          <w:lang w:val="fr-FR"/>
        </w:rPr>
        <w:fldChar w:fldCharType="begin"/>
      </w:r>
      <w:r w:rsidRPr="007F3E67">
        <w:rPr>
          <w:lang w:val="fr-FR"/>
        </w:rPr>
        <w:instrText xml:space="preserve"> SEQ level0 \*arabic </w:instrText>
      </w:r>
      <w:r w:rsidRPr="007F3E67">
        <w:rPr>
          <w:lang w:val="fr-FR"/>
        </w:rPr>
        <w:fldChar w:fldCharType="separate"/>
      </w:r>
      <w:r w:rsidR="007F3E67" w:rsidRPr="007F3E67">
        <w:rPr>
          <w:noProof/>
          <w:lang w:val="fr-FR"/>
        </w:rPr>
        <w:t>170</w:t>
      </w:r>
      <w:r w:rsidRPr="007F3E67">
        <w:rPr>
          <w:lang w:val="fr-FR"/>
        </w:rPr>
        <w:fldChar w:fldCharType="end"/>
      </w:r>
      <w:r w:rsidRPr="007F3E67">
        <w:rPr>
          <w:lang w:val="fr-FR"/>
        </w:rPr>
        <w:t>.  </w:t>
      </w:r>
      <w:r w:rsidR="00E77CB3" w:rsidRPr="007F3E67">
        <w:rPr>
          <w:lang w:val="fr-FR"/>
        </w:rPr>
        <w:t xml:space="preserve">En </w:t>
      </w:r>
      <w:r w:rsidR="00FD3D9A" w:rsidRPr="007F3E67">
        <w:rPr>
          <w:lang w:val="fr-FR"/>
        </w:rPr>
        <w:t xml:space="preserve">ce qui concerne le dommage moral, </w:t>
      </w:r>
      <w:r w:rsidR="00121782" w:rsidRPr="007F3E67">
        <w:rPr>
          <w:lang w:val="fr-FR"/>
        </w:rPr>
        <w:t>la Cour</w:t>
      </w:r>
      <w:r w:rsidR="00E51B70" w:rsidRPr="007F3E67">
        <w:rPr>
          <w:lang w:val="fr-FR"/>
        </w:rPr>
        <w:t xml:space="preserve"> </w:t>
      </w:r>
      <w:r w:rsidR="00C61DE6" w:rsidRPr="007F3E67">
        <w:rPr>
          <w:lang w:val="fr-FR"/>
        </w:rPr>
        <w:t>relève que,</w:t>
      </w:r>
      <w:r w:rsidR="008368EC" w:rsidRPr="007F3E67">
        <w:rPr>
          <w:lang w:val="fr-FR"/>
        </w:rPr>
        <w:t xml:space="preserve"> </w:t>
      </w:r>
      <w:r w:rsidR="00C61DE6" w:rsidRPr="007F3E67">
        <w:rPr>
          <w:lang w:val="fr-FR"/>
        </w:rPr>
        <w:t>selon les dernières informations fournies par les requérants et non contestées par le Gouvernement, les indemnités provisionnelles accordées à titre de dommages-intérêts aux requérants par les tribunaux internes</w:t>
      </w:r>
      <w:r w:rsidR="008368EC" w:rsidRPr="007F3E67">
        <w:rPr>
          <w:lang w:val="fr-FR"/>
        </w:rPr>
        <w:t xml:space="preserve"> </w:t>
      </w:r>
      <w:r w:rsidR="001A6AEA" w:rsidRPr="007F3E67">
        <w:rPr>
          <w:lang w:val="fr-FR"/>
        </w:rPr>
        <w:t>n</w:t>
      </w:r>
      <w:r w:rsidR="007F3E67" w:rsidRPr="007F3E67">
        <w:rPr>
          <w:lang w:val="fr-FR"/>
        </w:rPr>
        <w:t>’</w:t>
      </w:r>
      <w:r w:rsidR="008368EC" w:rsidRPr="007F3E67">
        <w:rPr>
          <w:lang w:val="fr-FR"/>
        </w:rPr>
        <w:t>o</w:t>
      </w:r>
      <w:r w:rsidR="001A6AEA" w:rsidRPr="007F3E67">
        <w:rPr>
          <w:lang w:val="fr-FR"/>
        </w:rPr>
        <w:t>nt pas</w:t>
      </w:r>
      <w:r w:rsidR="0037275F" w:rsidRPr="007F3E67">
        <w:rPr>
          <w:lang w:val="fr-FR"/>
        </w:rPr>
        <w:t xml:space="preserve"> été versées ou </w:t>
      </w:r>
      <w:r w:rsidR="000C3E1B" w:rsidRPr="007F3E67">
        <w:rPr>
          <w:lang w:val="fr-FR"/>
        </w:rPr>
        <w:t>ne l</w:t>
      </w:r>
      <w:r w:rsidR="007F3E67" w:rsidRPr="007F3E67">
        <w:rPr>
          <w:lang w:val="fr-FR"/>
        </w:rPr>
        <w:t>’</w:t>
      </w:r>
      <w:r w:rsidR="008368EC" w:rsidRPr="007F3E67">
        <w:rPr>
          <w:lang w:val="fr-FR"/>
        </w:rPr>
        <w:t>o</w:t>
      </w:r>
      <w:r w:rsidR="001A6AEA" w:rsidRPr="007F3E67">
        <w:rPr>
          <w:lang w:val="fr-FR"/>
        </w:rPr>
        <w:t>nt</w:t>
      </w:r>
      <w:r w:rsidR="000C3E1B" w:rsidRPr="007F3E67">
        <w:rPr>
          <w:lang w:val="fr-FR"/>
        </w:rPr>
        <w:t xml:space="preserve"> été que partiellement</w:t>
      </w:r>
      <w:r w:rsidR="001A6AEA" w:rsidRPr="007F3E67">
        <w:rPr>
          <w:lang w:val="fr-FR"/>
        </w:rPr>
        <w:t xml:space="preserve"> et</w:t>
      </w:r>
      <w:r w:rsidR="007A7EBE" w:rsidRPr="007F3E67">
        <w:rPr>
          <w:lang w:val="fr-FR"/>
        </w:rPr>
        <w:t xml:space="preserve"> à un nombre limité de requérants</w:t>
      </w:r>
      <w:r w:rsidR="00F4029A" w:rsidRPr="007F3E67">
        <w:rPr>
          <w:lang w:val="fr-FR"/>
        </w:rPr>
        <w:t xml:space="preserve"> (quatre requérants de la requête n</w:t>
      </w:r>
      <w:r w:rsidR="00A516CC" w:rsidRPr="007F3E67">
        <w:rPr>
          <w:vertAlign w:val="superscript"/>
          <w:lang w:val="fr-FR"/>
        </w:rPr>
        <w:t>o</w:t>
      </w:r>
      <w:r w:rsidR="00F4029A" w:rsidRPr="007F3E67">
        <w:rPr>
          <w:lang w:val="fr-FR"/>
        </w:rPr>
        <w:t xml:space="preserve"> 28923/09</w:t>
      </w:r>
      <w:r w:rsidR="002374C3" w:rsidRPr="007F3E67">
        <w:rPr>
          <w:lang w:val="fr-FR"/>
        </w:rPr>
        <w:t xml:space="preserve"> et deux requérants de la requête n</w:t>
      </w:r>
      <w:r w:rsidR="00A516CC" w:rsidRPr="007F3E67">
        <w:rPr>
          <w:vertAlign w:val="superscript"/>
          <w:lang w:val="fr-FR"/>
        </w:rPr>
        <w:t>o</w:t>
      </w:r>
      <w:r w:rsidR="002374C3" w:rsidRPr="007F3E67">
        <w:rPr>
          <w:lang w:val="fr-FR"/>
        </w:rPr>
        <w:t xml:space="preserve"> 67599/10</w:t>
      </w:r>
      <w:r w:rsidR="00F4029A" w:rsidRPr="007F3E67">
        <w:rPr>
          <w:lang w:val="fr-FR"/>
        </w:rPr>
        <w:t>)</w:t>
      </w:r>
      <w:r w:rsidR="0037275F" w:rsidRPr="007F3E67">
        <w:rPr>
          <w:lang w:val="fr-FR"/>
        </w:rPr>
        <w:t>.</w:t>
      </w:r>
      <w:r w:rsidR="00FD3D9A" w:rsidRPr="007F3E67">
        <w:rPr>
          <w:lang w:val="fr-FR"/>
        </w:rPr>
        <w:t xml:space="preserve"> </w:t>
      </w:r>
      <w:r w:rsidR="001A6AEA" w:rsidRPr="007F3E67">
        <w:rPr>
          <w:lang w:val="fr-FR"/>
        </w:rPr>
        <w:t>Elle</w:t>
      </w:r>
      <w:r w:rsidR="0037275F" w:rsidRPr="007F3E67">
        <w:rPr>
          <w:lang w:val="fr-FR"/>
        </w:rPr>
        <w:t xml:space="preserve"> </w:t>
      </w:r>
      <w:r w:rsidRPr="007F3E67">
        <w:rPr>
          <w:lang w:val="fr-FR"/>
        </w:rPr>
        <w:t>rappelle</w:t>
      </w:r>
      <w:r w:rsidR="007A7EBE" w:rsidRPr="007F3E67">
        <w:rPr>
          <w:lang w:val="fr-FR"/>
        </w:rPr>
        <w:t xml:space="preserve"> </w:t>
      </w:r>
      <w:r w:rsidRPr="007F3E67">
        <w:rPr>
          <w:lang w:val="fr-FR"/>
        </w:rPr>
        <w:t xml:space="preserve">également </w:t>
      </w:r>
      <w:r w:rsidR="00FD3D9A" w:rsidRPr="007F3E67">
        <w:rPr>
          <w:lang w:val="fr-FR"/>
        </w:rPr>
        <w:t xml:space="preserve">la gravité des </w:t>
      </w:r>
      <w:r w:rsidR="007A7EBE" w:rsidRPr="007F3E67">
        <w:rPr>
          <w:lang w:val="fr-FR"/>
        </w:rPr>
        <w:t xml:space="preserve">actes de violence </w:t>
      </w:r>
      <w:r w:rsidR="00AC01AA" w:rsidRPr="007F3E67">
        <w:rPr>
          <w:lang w:val="fr-FR"/>
        </w:rPr>
        <w:t>établis</w:t>
      </w:r>
      <w:r w:rsidRPr="007F3E67">
        <w:rPr>
          <w:lang w:val="fr-FR"/>
        </w:rPr>
        <w:t xml:space="preserve"> dans les</w:t>
      </w:r>
      <w:r w:rsidR="00FD3D9A" w:rsidRPr="007F3E67">
        <w:rPr>
          <w:lang w:val="fr-FR"/>
        </w:rPr>
        <w:t xml:space="preserve"> présentes </w:t>
      </w:r>
      <w:r w:rsidR="003C3A2C" w:rsidRPr="007F3E67">
        <w:rPr>
          <w:lang w:val="fr-FR"/>
        </w:rPr>
        <w:t>affaire</w:t>
      </w:r>
      <w:r w:rsidR="00FD3D9A" w:rsidRPr="007F3E67">
        <w:rPr>
          <w:lang w:val="fr-FR"/>
        </w:rPr>
        <w:t xml:space="preserve">s </w:t>
      </w:r>
      <w:r w:rsidR="007A7EBE" w:rsidRPr="007F3E67">
        <w:rPr>
          <w:lang w:val="fr-FR"/>
        </w:rPr>
        <w:t>qui ont conduit</w:t>
      </w:r>
      <w:r w:rsidR="00FD3D9A" w:rsidRPr="007F3E67">
        <w:rPr>
          <w:lang w:val="fr-FR"/>
        </w:rPr>
        <w:t xml:space="preserve"> à sa conclusion de violation de l</w:t>
      </w:r>
      <w:r w:rsidR="007F3E67" w:rsidRPr="007F3E67">
        <w:rPr>
          <w:lang w:val="fr-FR"/>
        </w:rPr>
        <w:t>’</w:t>
      </w:r>
      <w:r w:rsidR="00FD3D9A" w:rsidRPr="007F3E67">
        <w:rPr>
          <w:lang w:val="fr-FR"/>
        </w:rPr>
        <w:t>article 3 de la Convention, tant sous son volet matériel que sous son volet procédural</w:t>
      </w:r>
      <w:r w:rsidR="007A7EBE" w:rsidRPr="007F3E67">
        <w:rPr>
          <w:lang w:val="fr-FR"/>
        </w:rPr>
        <w:t>.</w:t>
      </w:r>
    </w:p>
    <w:p w:rsidR="00E77CB3" w:rsidRPr="007F3E67" w:rsidRDefault="00000524" w:rsidP="007F3E67">
      <w:pPr>
        <w:pStyle w:val="ECHRPara"/>
        <w:rPr>
          <w:lang w:val="fr-FR"/>
        </w:rPr>
      </w:pPr>
      <w:r w:rsidRPr="007F3E67">
        <w:rPr>
          <w:lang w:val="fr-FR"/>
        </w:rPr>
        <w:fldChar w:fldCharType="begin"/>
      </w:r>
      <w:r w:rsidRPr="007F3E67">
        <w:rPr>
          <w:lang w:val="fr-FR"/>
        </w:rPr>
        <w:instrText xml:space="preserve"> SEQ level0 \*arabic </w:instrText>
      </w:r>
      <w:r w:rsidRPr="007F3E67">
        <w:rPr>
          <w:lang w:val="fr-FR"/>
        </w:rPr>
        <w:fldChar w:fldCharType="separate"/>
      </w:r>
      <w:r w:rsidR="007F3E67" w:rsidRPr="007F3E67">
        <w:rPr>
          <w:noProof/>
          <w:lang w:val="fr-FR"/>
        </w:rPr>
        <w:t>171</w:t>
      </w:r>
      <w:r w:rsidRPr="007F3E67">
        <w:rPr>
          <w:lang w:val="fr-FR"/>
        </w:rPr>
        <w:fldChar w:fldCharType="end"/>
      </w:r>
      <w:r w:rsidRPr="007F3E67">
        <w:rPr>
          <w:lang w:val="fr-FR"/>
        </w:rPr>
        <w:t>.  </w:t>
      </w:r>
      <w:r w:rsidR="00AD2AE0" w:rsidRPr="007F3E67">
        <w:rPr>
          <w:lang w:val="fr-FR"/>
        </w:rPr>
        <w:t>Partant</w:t>
      </w:r>
      <w:r w:rsidR="007A7EBE" w:rsidRPr="007F3E67">
        <w:rPr>
          <w:lang w:val="fr-FR"/>
        </w:rPr>
        <w:t>, elle</w:t>
      </w:r>
      <w:r w:rsidR="00FD3D9A" w:rsidRPr="007F3E67">
        <w:rPr>
          <w:lang w:val="fr-FR"/>
        </w:rPr>
        <w:t xml:space="preserve"> </w:t>
      </w:r>
      <w:r w:rsidR="003C3A2C" w:rsidRPr="007F3E67">
        <w:rPr>
          <w:lang w:val="fr-FR"/>
        </w:rPr>
        <w:t>décide</w:t>
      </w:r>
      <w:r w:rsidR="00FD3D9A" w:rsidRPr="007F3E67">
        <w:rPr>
          <w:lang w:val="fr-FR"/>
        </w:rPr>
        <w:t xml:space="preserve"> d</w:t>
      </w:r>
      <w:r w:rsidR="007F3E67" w:rsidRPr="007F3E67">
        <w:rPr>
          <w:lang w:val="fr-FR"/>
        </w:rPr>
        <w:t>’</w:t>
      </w:r>
      <w:r w:rsidR="00FD3D9A" w:rsidRPr="007F3E67">
        <w:rPr>
          <w:lang w:val="fr-FR"/>
        </w:rPr>
        <w:t xml:space="preserve">accorder en équité à chaque requérant la somme de </w:t>
      </w:r>
      <w:r w:rsidR="00EC3064" w:rsidRPr="007F3E67">
        <w:rPr>
          <w:lang w:val="fr-FR"/>
        </w:rPr>
        <w:t>8</w:t>
      </w:r>
      <w:r w:rsidR="00C1353E" w:rsidRPr="007F3E67">
        <w:rPr>
          <w:lang w:val="fr-FR"/>
        </w:rPr>
        <w:t>0</w:t>
      </w:r>
      <w:r w:rsidR="00FD3D9A" w:rsidRPr="007F3E67">
        <w:rPr>
          <w:lang w:val="fr-FR"/>
        </w:rPr>
        <w:t xml:space="preserve"> 000 EUR</w:t>
      </w:r>
      <w:r w:rsidR="00AD71C6" w:rsidRPr="007F3E67">
        <w:rPr>
          <w:lang w:val="fr-FR"/>
        </w:rPr>
        <w:t xml:space="preserve"> (quatre-vingt mille euros)</w:t>
      </w:r>
      <w:r w:rsidR="00FD3D9A" w:rsidRPr="007F3E67">
        <w:rPr>
          <w:lang w:val="fr-FR"/>
        </w:rPr>
        <w:t xml:space="preserve"> à titre de dommage moral, à l</w:t>
      </w:r>
      <w:r w:rsidR="007F3E67" w:rsidRPr="007F3E67">
        <w:rPr>
          <w:lang w:val="fr-FR"/>
        </w:rPr>
        <w:t>’</w:t>
      </w:r>
      <w:r w:rsidR="00FD3D9A" w:rsidRPr="007F3E67">
        <w:rPr>
          <w:lang w:val="fr-FR"/>
        </w:rPr>
        <w:t xml:space="preserve">exception de </w:t>
      </w:r>
      <w:r w:rsidR="003C3A2C" w:rsidRPr="007F3E67">
        <w:rPr>
          <w:lang w:val="fr-FR"/>
        </w:rPr>
        <w:t>M. </w:t>
      </w:r>
      <w:r w:rsidR="00FD3D9A" w:rsidRPr="007F3E67">
        <w:rPr>
          <w:lang w:val="fr-FR"/>
        </w:rPr>
        <w:t>G.</w:t>
      </w:r>
      <w:r w:rsidR="00E51B70" w:rsidRPr="007F3E67">
        <w:rPr>
          <w:lang w:val="fr-FR"/>
        </w:rPr>
        <w:t> </w:t>
      </w:r>
      <w:r w:rsidR="00FD3D9A" w:rsidRPr="007F3E67">
        <w:rPr>
          <w:lang w:val="fr-FR"/>
        </w:rPr>
        <w:t>Azzolina. À ce dernier, en raison de la gravité</w:t>
      </w:r>
      <w:r w:rsidR="00121782" w:rsidRPr="007F3E67">
        <w:rPr>
          <w:lang w:val="fr-FR"/>
        </w:rPr>
        <w:t xml:space="preserve"> et cruauté</w:t>
      </w:r>
      <w:r w:rsidR="00FD3D9A" w:rsidRPr="007F3E67">
        <w:rPr>
          <w:lang w:val="fr-FR"/>
        </w:rPr>
        <w:t xml:space="preserve"> des violences dont il fut victime</w:t>
      </w:r>
      <w:r w:rsidR="000D5EF0" w:rsidRPr="007F3E67">
        <w:rPr>
          <w:lang w:val="fr-FR"/>
        </w:rPr>
        <w:t xml:space="preserve"> au sein de la caserne de Bolzaneto</w:t>
      </w:r>
      <w:r w:rsidR="00FD3D9A" w:rsidRPr="007F3E67">
        <w:rPr>
          <w:lang w:val="fr-FR"/>
        </w:rPr>
        <w:t>, la Cour décide d</w:t>
      </w:r>
      <w:r w:rsidR="007F3E67" w:rsidRPr="007F3E67">
        <w:rPr>
          <w:lang w:val="fr-FR"/>
        </w:rPr>
        <w:t>’</w:t>
      </w:r>
      <w:r w:rsidR="00FD3D9A" w:rsidRPr="007F3E67">
        <w:rPr>
          <w:lang w:val="fr-FR"/>
        </w:rPr>
        <w:t xml:space="preserve">accorder en équité la somme de </w:t>
      </w:r>
      <w:r w:rsidR="00EC3064" w:rsidRPr="007F3E67">
        <w:rPr>
          <w:lang w:val="fr-FR"/>
        </w:rPr>
        <w:t>8</w:t>
      </w:r>
      <w:r w:rsidR="00121782" w:rsidRPr="007F3E67">
        <w:rPr>
          <w:lang w:val="fr-FR"/>
        </w:rPr>
        <w:t>5</w:t>
      </w:r>
      <w:r w:rsidR="00FD3D9A" w:rsidRPr="007F3E67">
        <w:rPr>
          <w:lang w:val="fr-FR"/>
        </w:rPr>
        <w:t xml:space="preserve"> </w:t>
      </w:r>
      <w:r w:rsidR="0032747A" w:rsidRPr="007F3E67">
        <w:rPr>
          <w:lang w:val="fr-FR"/>
        </w:rPr>
        <w:t>000 EUR</w:t>
      </w:r>
      <w:r w:rsidR="00AD71C6" w:rsidRPr="007F3E67">
        <w:rPr>
          <w:lang w:val="fr-FR"/>
        </w:rPr>
        <w:t xml:space="preserve"> (quatre</w:t>
      </w:r>
      <w:r w:rsidR="009D7CBD" w:rsidRPr="007F3E67">
        <w:rPr>
          <w:lang w:val="fr-FR"/>
        </w:rPr>
        <w:noBreakHyphen/>
      </w:r>
      <w:r w:rsidR="00AD71C6" w:rsidRPr="007F3E67">
        <w:rPr>
          <w:lang w:val="fr-FR"/>
        </w:rPr>
        <w:t>vingt</w:t>
      </w:r>
      <w:r w:rsidR="009D7CBD" w:rsidRPr="007F3E67">
        <w:rPr>
          <w:lang w:val="fr-FR"/>
        </w:rPr>
        <w:noBreakHyphen/>
      </w:r>
      <w:r w:rsidR="00AD71C6" w:rsidRPr="007F3E67">
        <w:rPr>
          <w:lang w:val="fr-FR"/>
        </w:rPr>
        <w:t>cinq mille euros)</w:t>
      </w:r>
      <w:r w:rsidR="0032747A" w:rsidRPr="007F3E67">
        <w:rPr>
          <w:lang w:val="fr-FR"/>
        </w:rPr>
        <w:t xml:space="preserve"> à titre de dommage mora</w:t>
      </w:r>
      <w:r w:rsidR="007C654A" w:rsidRPr="007F3E67">
        <w:rPr>
          <w:lang w:val="fr-FR"/>
        </w:rPr>
        <w:t>l</w:t>
      </w:r>
      <w:r w:rsidR="00FD3D9A" w:rsidRPr="007F3E67">
        <w:rPr>
          <w:lang w:val="fr-FR"/>
        </w:rPr>
        <w:t>.</w:t>
      </w:r>
    </w:p>
    <w:p w:rsidR="001A6AEA" w:rsidRPr="007F3E67" w:rsidRDefault="001A6AEA" w:rsidP="007F3E67">
      <w:pPr>
        <w:pStyle w:val="ECHRPara"/>
        <w:rPr>
          <w:i/>
          <w:lang w:val="fr-FR"/>
        </w:rPr>
      </w:pPr>
      <w:r w:rsidRPr="007F3E67">
        <w:rPr>
          <w:lang w:val="fr-FR"/>
        </w:rPr>
        <w:fldChar w:fldCharType="begin"/>
      </w:r>
      <w:r w:rsidRPr="007F3E67">
        <w:rPr>
          <w:lang w:val="fr-FR"/>
        </w:rPr>
        <w:instrText xml:space="preserve"> SEQ level0 \*arabic </w:instrText>
      </w:r>
      <w:r w:rsidRPr="007F3E67">
        <w:rPr>
          <w:lang w:val="fr-FR"/>
        </w:rPr>
        <w:fldChar w:fldCharType="separate"/>
      </w:r>
      <w:r w:rsidR="007F3E67" w:rsidRPr="007F3E67">
        <w:rPr>
          <w:noProof/>
          <w:lang w:val="fr-FR"/>
        </w:rPr>
        <w:t>172</w:t>
      </w:r>
      <w:r w:rsidRPr="007F3E67">
        <w:rPr>
          <w:lang w:val="fr-FR"/>
        </w:rPr>
        <w:fldChar w:fldCharType="end"/>
      </w:r>
      <w:r w:rsidRPr="007F3E67">
        <w:rPr>
          <w:lang w:val="fr-FR"/>
        </w:rPr>
        <w:t xml:space="preserve">.  La Cour précise </w:t>
      </w:r>
      <w:r w:rsidR="00C61DE6" w:rsidRPr="007F3E67">
        <w:rPr>
          <w:lang w:val="fr-FR"/>
        </w:rPr>
        <w:t xml:space="preserve">néanmoins </w:t>
      </w:r>
      <w:r w:rsidRPr="007F3E67">
        <w:rPr>
          <w:lang w:val="fr-FR"/>
        </w:rPr>
        <w:t>que les sommes qu</w:t>
      </w:r>
      <w:r w:rsidR="007F3E67" w:rsidRPr="007F3E67">
        <w:rPr>
          <w:lang w:val="fr-FR"/>
        </w:rPr>
        <w:t>’</w:t>
      </w:r>
      <w:r w:rsidRPr="007F3E67">
        <w:rPr>
          <w:lang w:val="fr-FR"/>
        </w:rPr>
        <w:t xml:space="preserve">elle a accordées au titre du dommage moral </w:t>
      </w:r>
      <w:r w:rsidR="008C4C57" w:rsidRPr="007F3E67">
        <w:rPr>
          <w:lang w:val="fr-FR"/>
        </w:rPr>
        <w:t xml:space="preserve">ne </w:t>
      </w:r>
      <w:r w:rsidRPr="007F3E67">
        <w:rPr>
          <w:lang w:val="fr-FR"/>
        </w:rPr>
        <w:t xml:space="preserve">sont dues </w:t>
      </w:r>
      <w:r w:rsidR="008C4C57" w:rsidRPr="007F3E67">
        <w:rPr>
          <w:lang w:val="fr-FR"/>
        </w:rPr>
        <w:t>qu</w:t>
      </w:r>
      <w:r w:rsidR="007F3E67" w:rsidRPr="007F3E67">
        <w:rPr>
          <w:lang w:val="fr-FR"/>
        </w:rPr>
        <w:t>’</w:t>
      </w:r>
      <w:r w:rsidR="008C4C57" w:rsidRPr="007F3E67">
        <w:rPr>
          <w:lang w:val="fr-FR"/>
        </w:rPr>
        <w:t>en fonction</w:t>
      </w:r>
      <w:r w:rsidRPr="007F3E67">
        <w:rPr>
          <w:lang w:val="fr-FR"/>
        </w:rPr>
        <w:t xml:space="preserve"> d</w:t>
      </w:r>
      <w:r w:rsidR="00C61DE6" w:rsidRPr="007F3E67">
        <w:rPr>
          <w:lang w:val="fr-FR"/>
        </w:rPr>
        <w:t>e l</w:t>
      </w:r>
      <w:r w:rsidR="007F3E67" w:rsidRPr="007F3E67">
        <w:rPr>
          <w:lang w:val="fr-FR"/>
        </w:rPr>
        <w:t>’</w:t>
      </w:r>
      <w:r w:rsidR="00C61DE6" w:rsidRPr="007F3E67">
        <w:rPr>
          <w:lang w:val="fr-FR"/>
        </w:rPr>
        <w:t>état de versement des</w:t>
      </w:r>
      <w:r w:rsidR="008368EC" w:rsidRPr="007F3E67">
        <w:rPr>
          <w:lang w:val="fr-FR"/>
        </w:rPr>
        <w:t xml:space="preserve"> </w:t>
      </w:r>
      <w:r w:rsidR="008C4C57" w:rsidRPr="007F3E67">
        <w:rPr>
          <w:lang w:val="fr-FR"/>
        </w:rPr>
        <w:t>indemnités</w:t>
      </w:r>
      <w:r w:rsidRPr="007F3E67">
        <w:rPr>
          <w:lang w:val="fr-FR"/>
        </w:rPr>
        <w:t xml:space="preserve"> reconnu</w:t>
      </w:r>
      <w:r w:rsidR="008C4C57" w:rsidRPr="007F3E67">
        <w:rPr>
          <w:lang w:val="fr-FR"/>
        </w:rPr>
        <w:t>e</w:t>
      </w:r>
      <w:r w:rsidRPr="007F3E67">
        <w:rPr>
          <w:lang w:val="fr-FR"/>
        </w:rPr>
        <w:t>s</w:t>
      </w:r>
      <w:r w:rsidR="008C4C57" w:rsidRPr="007F3E67">
        <w:rPr>
          <w:lang w:val="fr-FR"/>
        </w:rPr>
        <w:t xml:space="preserve"> à titre de provision</w:t>
      </w:r>
      <w:r w:rsidRPr="007F3E67">
        <w:rPr>
          <w:lang w:val="fr-FR"/>
        </w:rPr>
        <w:t xml:space="preserve"> au plan interne.</w:t>
      </w:r>
      <w:r w:rsidR="009F36B5" w:rsidRPr="007F3E67">
        <w:rPr>
          <w:lang w:val="fr-FR"/>
        </w:rPr>
        <w:t xml:space="preserve"> </w:t>
      </w:r>
      <w:r w:rsidRPr="007F3E67">
        <w:rPr>
          <w:lang w:val="fr-FR"/>
        </w:rPr>
        <w:t>Ainsi, dans l</w:t>
      </w:r>
      <w:r w:rsidR="007F3E67" w:rsidRPr="007F3E67">
        <w:rPr>
          <w:lang w:val="fr-FR"/>
        </w:rPr>
        <w:t>’</w:t>
      </w:r>
      <w:r w:rsidRPr="007F3E67">
        <w:rPr>
          <w:lang w:val="fr-FR"/>
        </w:rPr>
        <w:t xml:space="preserve">hypothèse où </w:t>
      </w:r>
      <w:r w:rsidR="008C4C57" w:rsidRPr="007F3E67">
        <w:rPr>
          <w:lang w:val="fr-FR"/>
        </w:rPr>
        <w:t xml:space="preserve">ces sommes </w:t>
      </w:r>
      <w:r w:rsidRPr="007F3E67">
        <w:rPr>
          <w:lang w:val="fr-FR"/>
        </w:rPr>
        <w:t xml:space="preserve">seraient effectivement </w:t>
      </w:r>
      <w:r w:rsidR="00AF72F3" w:rsidRPr="007F3E67">
        <w:rPr>
          <w:lang w:val="fr-FR"/>
        </w:rPr>
        <w:t>payées</w:t>
      </w:r>
      <w:r w:rsidRPr="007F3E67">
        <w:rPr>
          <w:lang w:val="fr-FR"/>
        </w:rPr>
        <w:t xml:space="preserve"> par les autorités italiennes</w:t>
      </w:r>
      <w:r w:rsidR="008C4C57" w:rsidRPr="007F3E67">
        <w:rPr>
          <w:lang w:val="fr-FR"/>
        </w:rPr>
        <w:t xml:space="preserve"> aux requérants</w:t>
      </w:r>
      <w:r w:rsidRPr="007F3E67">
        <w:rPr>
          <w:lang w:val="fr-FR"/>
        </w:rPr>
        <w:t xml:space="preserve">, </w:t>
      </w:r>
      <w:r w:rsidR="008C4C57" w:rsidRPr="007F3E67">
        <w:rPr>
          <w:lang w:val="fr-FR"/>
        </w:rPr>
        <w:t>elles</w:t>
      </w:r>
      <w:r w:rsidRPr="007F3E67">
        <w:rPr>
          <w:lang w:val="fr-FR"/>
        </w:rPr>
        <w:t xml:space="preserve"> viendraient en déduction des </w:t>
      </w:r>
      <w:r w:rsidR="00C61DE6" w:rsidRPr="007F3E67">
        <w:rPr>
          <w:lang w:val="fr-FR"/>
        </w:rPr>
        <w:t>satisfactions équitables</w:t>
      </w:r>
      <w:r w:rsidRPr="007F3E67">
        <w:rPr>
          <w:lang w:val="fr-FR"/>
        </w:rPr>
        <w:t xml:space="preserve"> que le Gouvernement devra verser</w:t>
      </w:r>
      <w:r w:rsidR="009F36B5" w:rsidRPr="007F3E67">
        <w:rPr>
          <w:lang w:val="fr-FR"/>
        </w:rPr>
        <w:t xml:space="preserve"> aux parties requérantes</w:t>
      </w:r>
      <w:r w:rsidRPr="007F3E67">
        <w:rPr>
          <w:lang w:val="fr-FR"/>
        </w:rPr>
        <w:t xml:space="preserve"> en vertu d</w:t>
      </w:r>
      <w:r w:rsidR="008C4C57" w:rsidRPr="007F3E67">
        <w:rPr>
          <w:lang w:val="fr-FR"/>
        </w:rPr>
        <w:t>u</w:t>
      </w:r>
      <w:r w:rsidRPr="007F3E67">
        <w:rPr>
          <w:lang w:val="fr-FR"/>
        </w:rPr>
        <w:t xml:space="preserve"> présent arrêt</w:t>
      </w:r>
      <w:r w:rsidR="00E70904" w:rsidRPr="007F3E67">
        <w:rPr>
          <w:lang w:val="fr-FR"/>
        </w:rPr>
        <w:t xml:space="preserve"> (</w:t>
      </w:r>
      <w:r w:rsidR="00650E11" w:rsidRPr="007F3E67">
        <w:rPr>
          <w:i/>
          <w:lang w:val="fr-FR"/>
        </w:rPr>
        <w:t>Kavaklıoğlu et autres c.</w:t>
      </w:r>
      <w:r w:rsidR="008C4C57" w:rsidRPr="007F3E67">
        <w:rPr>
          <w:i/>
          <w:lang w:val="fr-FR"/>
        </w:rPr>
        <w:t> </w:t>
      </w:r>
      <w:r w:rsidR="00650E11" w:rsidRPr="007F3E67">
        <w:rPr>
          <w:i/>
          <w:lang w:val="fr-FR"/>
        </w:rPr>
        <w:t>Turquie</w:t>
      </w:r>
      <w:r w:rsidR="00650E11" w:rsidRPr="007F3E67">
        <w:rPr>
          <w:lang w:val="fr-FR"/>
        </w:rPr>
        <w:t>, n</w:t>
      </w:r>
      <w:r w:rsidR="00650E11" w:rsidRPr="007F3E67">
        <w:rPr>
          <w:vertAlign w:val="superscript"/>
          <w:lang w:val="fr-FR"/>
        </w:rPr>
        <w:t>o</w:t>
      </w:r>
      <w:r w:rsidR="008C4C57" w:rsidRPr="007F3E67">
        <w:rPr>
          <w:vertAlign w:val="superscript"/>
          <w:lang w:val="fr-FR"/>
        </w:rPr>
        <w:t> </w:t>
      </w:r>
      <w:r w:rsidR="00650E11" w:rsidRPr="007F3E67">
        <w:rPr>
          <w:lang w:val="fr-FR"/>
        </w:rPr>
        <w:t>15397/02</w:t>
      </w:r>
      <w:r w:rsidR="00650E11" w:rsidRPr="007F3E67">
        <w:rPr>
          <w:snapToGrid w:val="0"/>
          <w:lang w:val="fr-FR"/>
        </w:rPr>
        <w:t>, §</w:t>
      </w:r>
      <w:r w:rsidR="00E70904" w:rsidRPr="007F3E67">
        <w:rPr>
          <w:snapToGrid w:val="0"/>
          <w:lang w:val="fr-FR"/>
        </w:rPr>
        <w:t xml:space="preserve"> 302</w:t>
      </w:r>
      <w:r w:rsidR="00650E11" w:rsidRPr="007F3E67">
        <w:rPr>
          <w:snapToGrid w:val="0"/>
          <w:lang w:val="fr-FR"/>
        </w:rPr>
        <w:t xml:space="preserve">, </w:t>
      </w:r>
      <w:r w:rsidR="00650E11" w:rsidRPr="007F3E67">
        <w:rPr>
          <w:lang w:val="fr-FR"/>
        </w:rPr>
        <w:t>6</w:t>
      </w:r>
      <w:r w:rsidR="00650E11" w:rsidRPr="007F3E67">
        <w:rPr>
          <w:snapToGrid w:val="0"/>
          <w:lang w:val="fr-FR"/>
        </w:rPr>
        <w:t xml:space="preserve"> </w:t>
      </w:r>
      <w:r w:rsidR="00650E11" w:rsidRPr="007F3E67">
        <w:rPr>
          <w:lang w:val="fr-FR"/>
        </w:rPr>
        <w:t>octobre</w:t>
      </w:r>
      <w:r w:rsidR="00650E11" w:rsidRPr="007F3E67">
        <w:rPr>
          <w:snapToGrid w:val="0"/>
          <w:lang w:val="fr-FR"/>
        </w:rPr>
        <w:t xml:space="preserve"> 2015</w:t>
      </w:r>
      <w:r w:rsidR="00E70904" w:rsidRPr="007F3E67">
        <w:rPr>
          <w:snapToGrid w:val="0"/>
          <w:lang w:val="fr-FR"/>
        </w:rPr>
        <w:t>)</w:t>
      </w:r>
      <w:r w:rsidRPr="007F3E67">
        <w:rPr>
          <w:lang w:val="fr-FR"/>
        </w:rPr>
        <w:t>.</w:t>
      </w:r>
    </w:p>
    <w:p w:rsidR="00E77CB3" w:rsidRPr="007F3E67" w:rsidRDefault="00E77CB3" w:rsidP="007F3E67">
      <w:pPr>
        <w:pStyle w:val="ECHRHeading2"/>
        <w:rPr>
          <w:lang w:val="fr-FR"/>
        </w:rPr>
      </w:pPr>
      <w:r w:rsidRPr="007F3E67">
        <w:rPr>
          <w:lang w:val="fr-FR"/>
        </w:rPr>
        <w:t>B.  Frais et dépens</w:t>
      </w:r>
    </w:p>
    <w:p w:rsidR="004556B3" w:rsidRPr="007F3E67" w:rsidRDefault="00E235F1" w:rsidP="007F3E67">
      <w:pPr>
        <w:pStyle w:val="ECHRPara"/>
        <w:rPr>
          <w:lang w:val="fr-FR"/>
        </w:rPr>
      </w:pPr>
      <w:r w:rsidRPr="007F3E67">
        <w:rPr>
          <w:lang w:val="fr-FR"/>
        </w:rPr>
        <w:fldChar w:fldCharType="begin"/>
      </w:r>
      <w:r w:rsidRPr="007F3E67">
        <w:rPr>
          <w:lang w:val="fr-FR"/>
        </w:rPr>
        <w:instrText xml:space="preserve"> SEQ level0 \*arabic </w:instrText>
      </w:r>
      <w:r w:rsidRPr="007F3E67">
        <w:rPr>
          <w:lang w:val="fr-FR"/>
        </w:rPr>
        <w:fldChar w:fldCharType="separate"/>
      </w:r>
      <w:r w:rsidR="007F3E67" w:rsidRPr="007F3E67">
        <w:rPr>
          <w:noProof/>
          <w:lang w:val="fr-FR"/>
        </w:rPr>
        <w:t>173</w:t>
      </w:r>
      <w:r w:rsidRPr="007F3E67">
        <w:rPr>
          <w:lang w:val="fr-FR"/>
        </w:rPr>
        <w:fldChar w:fldCharType="end"/>
      </w:r>
      <w:r w:rsidR="00E77CB3" w:rsidRPr="007F3E67">
        <w:rPr>
          <w:lang w:val="fr-FR"/>
        </w:rPr>
        <w:t>.  </w:t>
      </w:r>
      <w:r w:rsidR="004556B3" w:rsidRPr="007F3E67">
        <w:rPr>
          <w:lang w:val="fr-FR"/>
        </w:rPr>
        <w:t>Les requérants n</w:t>
      </w:r>
      <w:r w:rsidR="007F3E67" w:rsidRPr="007F3E67">
        <w:rPr>
          <w:lang w:val="fr-FR"/>
        </w:rPr>
        <w:t>’</w:t>
      </w:r>
      <w:r w:rsidR="004556B3" w:rsidRPr="007F3E67">
        <w:rPr>
          <w:lang w:val="fr-FR"/>
        </w:rPr>
        <w:t>ont formulé aucune demande de remboursement des frais et dépens engagés pour la procédure devant la Cour. La Cour estime dès lors qu</w:t>
      </w:r>
      <w:r w:rsidR="007F3E67" w:rsidRPr="007F3E67">
        <w:rPr>
          <w:lang w:val="fr-FR"/>
        </w:rPr>
        <w:t>’</w:t>
      </w:r>
      <w:r w:rsidR="004556B3" w:rsidRPr="007F3E67">
        <w:rPr>
          <w:lang w:val="fr-FR"/>
        </w:rPr>
        <w:t>il n</w:t>
      </w:r>
      <w:r w:rsidR="007F3E67" w:rsidRPr="007F3E67">
        <w:rPr>
          <w:lang w:val="fr-FR"/>
        </w:rPr>
        <w:t>’</w:t>
      </w:r>
      <w:r w:rsidR="004556B3" w:rsidRPr="007F3E67">
        <w:rPr>
          <w:lang w:val="fr-FR"/>
        </w:rPr>
        <w:t xml:space="preserve">y a pas lieu de leur accorder </w:t>
      </w:r>
      <w:r w:rsidR="00A13CCB" w:rsidRPr="007F3E67">
        <w:rPr>
          <w:lang w:val="fr-FR"/>
        </w:rPr>
        <w:t xml:space="preserve">de </w:t>
      </w:r>
      <w:r w:rsidR="004556B3" w:rsidRPr="007F3E67">
        <w:rPr>
          <w:lang w:val="fr-FR"/>
        </w:rPr>
        <w:t>somme à ce titre.</w:t>
      </w:r>
    </w:p>
    <w:p w:rsidR="00E77CB3" w:rsidRPr="007F3E67" w:rsidRDefault="00E77CB3" w:rsidP="007F3E67">
      <w:pPr>
        <w:pStyle w:val="ECHRHeading2"/>
        <w:rPr>
          <w:lang w:val="fr-FR"/>
        </w:rPr>
      </w:pPr>
      <w:r w:rsidRPr="007F3E67">
        <w:rPr>
          <w:lang w:val="fr-FR"/>
        </w:rPr>
        <w:t>C.  Intérêts moratoires</w:t>
      </w:r>
    </w:p>
    <w:p w:rsidR="00E77CB3" w:rsidRPr="007F3E67" w:rsidRDefault="00A516CC" w:rsidP="007F3E67">
      <w:pPr>
        <w:pStyle w:val="ECHRPara"/>
        <w:rPr>
          <w:lang w:val="fr-FR"/>
        </w:rPr>
      </w:pPr>
      <w:r w:rsidRPr="007F3E67">
        <w:rPr>
          <w:lang w:val="fr-FR"/>
        </w:rPr>
        <w:fldChar w:fldCharType="begin"/>
      </w:r>
      <w:r w:rsidRPr="007F3E67">
        <w:rPr>
          <w:lang w:val="fr-FR"/>
        </w:rPr>
        <w:instrText xml:space="preserve"> SEQ level0 \*arabic </w:instrText>
      </w:r>
      <w:r w:rsidRPr="007F3E67">
        <w:rPr>
          <w:lang w:val="fr-FR"/>
        </w:rPr>
        <w:fldChar w:fldCharType="separate"/>
      </w:r>
      <w:r w:rsidR="007F3E67" w:rsidRPr="007F3E67">
        <w:rPr>
          <w:noProof/>
          <w:lang w:val="fr-FR"/>
        </w:rPr>
        <w:t>174</w:t>
      </w:r>
      <w:r w:rsidRPr="007F3E67">
        <w:rPr>
          <w:lang w:val="fr-FR"/>
        </w:rPr>
        <w:fldChar w:fldCharType="end"/>
      </w:r>
      <w:r w:rsidRPr="007F3E67">
        <w:rPr>
          <w:lang w:val="fr-FR"/>
        </w:rPr>
        <w:t>.  </w:t>
      </w:r>
      <w:r w:rsidR="00E77CB3" w:rsidRPr="007F3E67">
        <w:rPr>
          <w:lang w:val="fr-FR"/>
        </w:rPr>
        <w:t>La Cour juge approprié de calquer le taux des intérêts moratoires sur le taux d</w:t>
      </w:r>
      <w:r w:rsidR="007F3E67" w:rsidRPr="007F3E67">
        <w:rPr>
          <w:lang w:val="fr-FR"/>
        </w:rPr>
        <w:t>’</w:t>
      </w:r>
      <w:r w:rsidR="00E77CB3" w:rsidRPr="007F3E67">
        <w:rPr>
          <w:lang w:val="fr-FR"/>
        </w:rPr>
        <w:t>intérêt de la facilité de prêt marginal de la Banque centrale européenne majoré de trois points de pourcentage.</w:t>
      </w:r>
    </w:p>
    <w:p w:rsidR="00E77CB3" w:rsidRPr="007F3E67" w:rsidRDefault="00E77CB3" w:rsidP="007F3E67">
      <w:pPr>
        <w:pStyle w:val="ECHRTitle1"/>
        <w:rPr>
          <w:lang w:val="fr-FR"/>
        </w:rPr>
      </w:pPr>
      <w:r w:rsidRPr="007F3E67">
        <w:rPr>
          <w:lang w:val="fr-FR"/>
        </w:rPr>
        <w:t>PAR CES MOTIFS, LA COUR</w:t>
      </w:r>
      <w:r w:rsidR="00E235F1" w:rsidRPr="007F3E67">
        <w:rPr>
          <w:lang w:val="fr-FR"/>
        </w:rPr>
        <w:t>, À L</w:t>
      </w:r>
      <w:r w:rsidR="007F3E67" w:rsidRPr="007F3E67">
        <w:rPr>
          <w:lang w:val="fr-FR"/>
        </w:rPr>
        <w:t>’</w:t>
      </w:r>
      <w:r w:rsidR="00EC3064" w:rsidRPr="007F3E67">
        <w:rPr>
          <w:lang w:val="fr-FR"/>
        </w:rPr>
        <w:t>UNANIMITÉ,</w:t>
      </w:r>
    </w:p>
    <w:p w:rsidR="00C55A0F" w:rsidRPr="007F3E67" w:rsidRDefault="00C55A0F" w:rsidP="007F3E67">
      <w:pPr>
        <w:pStyle w:val="JuList"/>
        <w:rPr>
          <w:lang w:val="fr-FR"/>
        </w:rPr>
      </w:pPr>
      <w:r w:rsidRPr="007F3E67">
        <w:rPr>
          <w:lang w:val="fr-FR"/>
        </w:rPr>
        <w:t>1.  </w:t>
      </w:r>
      <w:r w:rsidRPr="007F3E67">
        <w:rPr>
          <w:i/>
          <w:lang w:val="fr-FR"/>
        </w:rPr>
        <w:t>Décide</w:t>
      </w:r>
      <w:r w:rsidRPr="007F3E67">
        <w:rPr>
          <w:lang w:val="fr-FR"/>
        </w:rPr>
        <w:t xml:space="preserve"> de rayer la requête du rôle, en ce qui concerne les requérants dans la requête n</w:t>
      </w:r>
      <w:r w:rsidRPr="007F3E67">
        <w:rPr>
          <w:vertAlign w:val="superscript"/>
          <w:lang w:val="fr-FR"/>
        </w:rPr>
        <w:t>o</w:t>
      </w:r>
      <w:r w:rsidRPr="007F3E67">
        <w:rPr>
          <w:lang w:val="fr-FR"/>
        </w:rPr>
        <w:t xml:space="preserve"> </w:t>
      </w:r>
      <w:r w:rsidR="006C68C5" w:rsidRPr="007F3E67">
        <w:rPr>
          <w:lang w:val="fr-FR"/>
        </w:rPr>
        <w:t>67599/10</w:t>
      </w:r>
      <w:r w:rsidRPr="007F3E67">
        <w:rPr>
          <w:lang w:val="fr-FR"/>
        </w:rPr>
        <w:t xml:space="preserve"> qui figurent </w:t>
      </w:r>
      <w:r w:rsidR="00886D8C" w:rsidRPr="007F3E67">
        <w:rPr>
          <w:lang w:val="fr-FR"/>
        </w:rPr>
        <w:t xml:space="preserve">dans la liste </w:t>
      </w:r>
      <w:r w:rsidRPr="007F3E67">
        <w:rPr>
          <w:lang w:val="fr-FR"/>
        </w:rPr>
        <w:t>en annexe sous les numéros 5, 9</w:t>
      </w:r>
      <w:r w:rsidR="00030056" w:rsidRPr="007F3E67">
        <w:rPr>
          <w:lang w:val="fr-FR"/>
        </w:rPr>
        <w:t xml:space="preserve">, 10, </w:t>
      </w:r>
      <w:r w:rsidRPr="007F3E67">
        <w:rPr>
          <w:lang w:val="fr-FR"/>
        </w:rPr>
        <w:t>11, 14, 17 et 18 ;</w:t>
      </w:r>
    </w:p>
    <w:p w:rsidR="00886D8C" w:rsidRPr="007F3E67" w:rsidRDefault="00886D8C" w:rsidP="007F3E67">
      <w:pPr>
        <w:pStyle w:val="JuList"/>
        <w:rPr>
          <w:lang w:val="fr-FR"/>
        </w:rPr>
      </w:pPr>
    </w:p>
    <w:p w:rsidR="00886D8C" w:rsidRPr="007F3E67" w:rsidRDefault="00886D8C" w:rsidP="007F3E67">
      <w:pPr>
        <w:pStyle w:val="JuList"/>
        <w:rPr>
          <w:lang w:val="fr-FR"/>
        </w:rPr>
      </w:pPr>
      <w:r w:rsidRPr="007F3E67">
        <w:rPr>
          <w:lang w:val="fr-FR"/>
        </w:rPr>
        <w:t>2.  </w:t>
      </w:r>
      <w:r w:rsidRPr="007F3E67">
        <w:rPr>
          <w:i/>
          <w:lang w:val="fr-FR"/>
        </w:rPr>
        <w:t>Rejette</w:t>
      </w:r>
      <w:r w:rsidR="00FE03B4" w:rsidRPr="007F3E67">
        <w:rPr>
          <w:i/>
          <w:lang w:val="fr-FR"/>
        </w:rPr>
        <w:t xml:space="preserve"> </w:t>
      </w:r>
      <w:r w:rsidRPr="007F3E67">
        <w:rPr>
          <w:lang w:val="fr-FR"/>
        </w:rPr>
        <w:t>l</w:t>
      </w:r>
      <w:r w:rsidR="007F3E67" w:rsidRPr="007F3E67">
        <w:rPr>
          <w:lang w:val="fr-FR"/>
        </w:rPr>
        <w:t>’</w:t>
      </w:r>
      <w:r w:rsidRPr="007F3E67">
        <w:rPr>
          <w:lang w:val="fr-FR"/>
        </w:rPr>
        <w:t>exception préliminaire soulevée par le Gouvernement quant au non-épuisement des voies de recours internes en matière pénale ;</w:t>
      </w:r>
    </w:p>
    <w:p w:rsidR="00886D8C" w:rsidRPr="007F3E67" w:rsidRDefault="00886D8C" w:rsidP="007F3E67">
      <w:pPr>
        <w:pStyle w:val="JuList"/>
        <w:rPr>
          <w:lang w:val="fr-FR"/>
        </w:rPr>
      </w:pPr>
    </w:p>
    <w:p w:rsidR="00886D8C" w:rsidRPr="007F3E67" w:rsidRDefault="00886D8C" w:rsidP="007F3E67">
      <w:pPr>
        <w:pStyle w:val="JuList"/>
        <w:rPr>
          <w:i/>
          <w:lang w:val="fr-FR"/>
        </w:rPr>
      </w:pPr>
      <w:r w:rsidRPr="007F3E67">
        <w:rPr>
          <w:lang w:val="fr-FR"/>
        </w:rPr>
        <w:t>3.  </w:t>
      </w:r>
      <w:r w:rsidRPr="007F3E67">
        <w:rPr>
          <w:i/>
          <w:lang w:val="fr-FR"/>
        </w:rPr>
        <w:t>Joint</w:t>
      </w:r>
      <w:r w:rsidRPr="007F3E67">
        <w:rPr>
          <w:lang w:val="fr-FR"/>
        </w:rPr>
        <w:t xml:space="preserve"> au fond les exceptions soulevées par le Gouvernement quant à </w:t>
      </w:r>
      <w:r w:rsidR="00176C41" w:rsidRPr="007F3E67">
        <w:rPr>
          <w:lang w:val="fr-FR"/>
        </w:rPr>
        <w:t xml:space="preserve">la perte de </w:t>
      </w:r>
      <w:r w:rsidRPr="007F3E67">
        <w:rPr>
          <w:lang w:val="fr-FR"/>
        </w:rPr>
        <w:t>la qualité de victime des requérants et au non-épuisement des voies de recours internes en matière civile </w:t>
      </w:r>
      <w:r w:rsidR="00EC3064" w:rsidRPr="007F3E67">
        <w:rPr>
          <w:lang w:val="fr-FR"/>
        </w:rPr>
        <w:t>et les rejette ;</w:t>
      </w:r>
    </w:p>
    <w:p w:rsidR="00C55A0F" w:rsidRPr="007F3E67" w:rsidRDefault="00C55A0F" w:rsidP="007F3E67">
      <w:pPr>
        <w:pStyle w:val="JuList"/>
        <w:rPr>
          <w:lang w:val="fr-FR"/>
        </w:rPr>
      </w:pPr>
    </w:p>
    <w:p w:rsidR="00FB2B45" w:rsidRPr="007F3E67" w:rsidRDefault="00886D8C" w:rsidP="007F3E67">
      <w:pPr>
        <w:pStyle w:val="JuList"/>
        <w:rPr>
          <w:lang w:val="fr-FR"/>
        </w:rPr>
      </w:pPr>
      <w:r w:rsidRPr="007F3E67">
        <w:rPr>
          <w:lang w:val="fr-FR"/>
        </w:rPr>
        <w:t>4</w:t>
      </w:r>
      <w:r w:rsidR="00FB2B45" w:rsidRPr="007F3E67">
        <w:rPr>
          <w:lang w:val="fr-FR"/>
        </w:rPr>
        <w:t>.  </w:t>
      </w:r>
      <w:r w:rsidR="00FB2B45" w:rsidRPr="007F3E67">
        <w:rPr>
          <w:i/>
          <w:lang w:val="fr-FR"/>
        </w:rPr>
        <w:t>Déclare</w:t>
      </w:r>
      <w:r w:rsidR="00FB2B45" w:rsidRPr="007F3E67">
        <w:rPr>
          <w:lang w:val="fr-FR"/>
        </w:rPr>
        <w:t xml:space="preserve"> </w:t>
      </w:r>
      <w:r w:rsidR="00E235F1" w:rsidRPr="007F3E67">
        <w:rPr>
          <w:lang w:val="fr-FR"/>
        </w:rPr>
        <w:t>les requêtes recevables</w:t>
      </w:r>
      <w:r w:rsidRPr="007F3E67">
        <w:rPr>
          <w:lang w:val="fr-FR"/>
        </w:rPr>
        <w:t> ;</w:t>
      </w:r>
    </w:p>
    <w:p w:rsidR="00E77CB3" w:rsidRPr="007F3E67" w:rsidRDefault="00E77CB3" w:rsidP="007F3E67">
      <w:pPr>
        <w:pStyle w:val="JuList"/>
        <w:rPr>
          <w:lang w:val="fr-FR"/>
        </w:rPr>
      </w:pPr>
    </w:p>
    <w:p w:rsidR="00E77CB3" w:rsidRPr="007F3E67" w:rsidRDefault="00886D8C" w:rsidP="007F3E67">
      <w:pPr>
        <w:pStyle w:val="JuList"/>
        <w:rPr>
          <w:lang w:val="fr-FR"/>
        </w:rPr>
      </w:pPr>
      <w:r w:rsidRPr="007F3E67">
        <w:rPr>
          <w:lang w:val="fr-FR"/>
        </w:rPr>
        <w:t>5</w:t>
      </w:r>
      <w:r w:rsidR="004556B3" w:rsidRPr="007F3E67">
        <w:rPr>
          <w:lang w:val="fr-FR"/>
        </w:rPr>
        <w:t>.  </w:t>
      </w:r>
      <w:r w:rsidR="00E77CB3" w:rsidRPr="007F3E67">
        <w:rPr>
          <w:i/>
          <w:lang w:val="fr-FR"/>
        </w:rPr>
        <w:t>Dit</w:t>
      </w:r>
      <w:r w:rsidR="00E77CB3" w:rsidRPr="007F3E67">
        <w:rPr>
          <w:lang w:val="fr-FR"/>
        </w:rPr>
        <w:t xml:space="preserve"> qu</w:t>
      </w:r>
      <w:r w:rsidR="007F3E67" w:rsidRPr="007F3E67">
        <w:rPr>
          <w:lang w:val="fr-FR"/>
        </w:rPr>
        <w:t>’</w:t>
      </w:r>
      <w:r w:rsidR="00E77CB3" w:rsidRPr="007F3E67">
        <w:rPr>
          <w:lang w:val="fr-FR"/>
        </w:rPr>
        <w:t>il y a eu violation de l</w:t>
      </w:r>
      <w:r w:rsidR="007F3E67" w:rsidRPr="007F3E67">
        <w:rPr>
          <w:lang w:val="fr-FR"/>
        </w:rPr>
        <w:t>’</w:t>
      </w:r>
      <w:r w:rsidR="00E77CB3" w:rsidRPr="007F3E67">
        <w:rPr>
          <w:lang w:val="fr-FR"/>
        </w:rPr>
        <w:t xml:space="preserve">article </w:t>
      </w:r>
      <w:r w:rsidR="00525F2C" w:rsidRPr="007F3E67">
        <w:rPr>
          <w:lang w:val="fr-FR"/>
        </w:rPr>
        <w:t>3</w:t>
      </w:r>
      <w:r w:rsidR="00E77CB3" w:rsidRPr="007F3E67">
        <w:rPr>
          <w:lang w:val="fr-FR"/>
        </w:rPr>
        <w:t xml:space="preserve"> de la Convention</w:t>
      </w:r>
      <w:r w:rsidR="00C1353E" w:rsidRPr="007F3E67">
        <w:rPr>
          <w:lang w:val="fr-FR"/>
        </w:rPr>
        <w:t xml:space="preserve"> sous son volet matériel</w:t>
      </w:r>
      <w:r w:rsidR="00E77CB3" w:rsidRPr="007F3E67">
        <w:rPr>
          <w:lang w:val="fr-FR"/>
        </w:rPr>
        <w:t> ;</w:t>
      </w:r>
    </w:p>
    <w:p w:rsidR="00E77CB3" w:rsidRPr="007F3E67" w:rsidRDefault="00E77CB3" w:rsidP="007F3E67">
      <w:pPr>
        <w:pStyle w:val="JuList"/>
        <w:rPr>
          <w:lang w:val="fr-FR"/>
        </w:rPr>
      </w:pPr>
    </w:p>
    <w:p w:rsidR="00E77CB3" w:rsidRPr="007F3E67" w:rsidRDefault="00886D8C" w:rsidP="007F3E67">
      <w:pPr>
        <w:pStyle w:val="JuList"/>
        <w:rPr>
          <w:lang w:val="fr-FR"/>
        </w:rPr>
      </w:pPr>
      <w:r w:rsidRPr="007F3E67">
        <w:rPr>
          <w:lang w:val="fr-FR"/>
        </w:rPr>
        <w:t>6</w:t>
      </w:r>
      <w:r w:rsidR="00E77CB3" w:rsidRPr="007F3E67">
        <w:rPr>
          <w:lang w:val="fr-FR"/>
        </w:rPr>
        <w:t>.  </w:t>
      </w:r>
      <w:r w:rsidR="00E77CB3" w:rsidRPr="007F3E67">
        <w:rPr>
          <w:i/>
          <w:lang w:val="fr-FR"/>
        </w:rPr>
        <w:t>Dit</w:t>
      </w:r>
      <w:r w:rsidR="00E77CB3" w:rsidRPr="007F3E67">
        <w:rPr>
          <w:lang w:val="fr-FR"/>
        </w:rPr>
        <w:t xml:space="preserve"> qu</w:t>
      </w:r>
      <w:r w:rsidR="007F3E67" w:rsidRPr="007F3E67">
        <w:rPr>
          <w:lang w:val="fr-FR"/>
        </w:rPr>
        <w:t>’</w:t>
      </w:r>
      <w:r w:rsidR="00E77CB3" w:rsidRPr="007F3E67">
        <w:rPr>
          <w:lang w:val="fr-FR"/>
        </w:rPr>
        <w:t>il y a eu violation de l</w:t>
      </w:r>
      <w:r w:rsidR="007F3E67" w:rsidRPr="007F3E67">
        <w:rPr>
          <w:lang w:val="fr-FR"/>
        </w:rPr>
        <w:t>’</w:t>
      </w:r>
      <w:r w:rsidR="00E77CB3" w:rsidRPr="007F3E67">
        <w:rPr>
          <w:lang w:val="fr-FR"/>
        </w:rPr>
        <w:t xml:space="preserve">article </w:t>
      </w:r>
      <w:r w:rsidR="00525F2C" w:rsidRPr="007F3E67">
        <w:rPr>
          <w:lang w:val="fr-FR"/>
        </w:rPr>
        <w:t>3</w:t>
      </w:r>
      <w:r w:rsidR="00E77CB3" w:rsidRPr="007F3E67">
        <w:rPr>
          <w:lang w:val="fr-FR"/>
        </w:rPr>
        <w:t xml:space="preserve"> de la Convention</w:t>
      </w:r>
      <w:r w:rsidR="00C1353E" w:rsidRPr="007F3E67">
        <w:rPr>
          <w:lang w:val="fr-FR"/>
        </w:rPr>
        <w:t xml:space="preserve"> sous son volet procédural</w:t>
      </w:r>
      <w:r w:rsidR="00E77CB3" w:rsidRPr="007F3E67">
        <w:rPr>
          <w:lang w:val="fr-FR"/>
        </w:rPr>
        <w:t> ;</w:t>
      </w:r>
    </w:p>
    <w:p w:rsidR="00E77CB3" w:rsidRPr="007F3E67" w:rsidRDefault="00E77CB3" w:rsidP="007F3E67">
      <w:pPr>
        <w:pStyle w:val="JuList"/>
        <w:rPr>
          <w:lang w:val="fr-FR"/>
        </w:rPr>
      </w:pPr>
    </w:p>
    <w:p w:rsidR="00E77CB3" w:rsidRPr="007F3E67" w:rsidRDefault="00886D8C" w:rsidP="007F3E67">
      <w:pPr>
        <w:pStyle w:val="JuList"/>
        <w:rPr>
          <w:lang w:val="fr-FR"/>
        </w:rPr>
      </w:pPr>
      <w:r w:rsidRPr="007F3E67">
        <w:rPr>
          <w:lang w:val="fr-FR"/>
        </w:rPr>
        <w:t>7</w:t>
      </w:r>
      <w:r w:rsidR="00E77CB3" w:rsidRPr="007F3E67">
        <w:rPr>
          <w:lang w:val="fr-FR"/>
        </w:rPr>
        <w:t>.  </w:t>
      </w:r>
      <w:r w:rsidR="00E77CB3" w:rsidRPr="007F3E67">
        <w:rPr>
          <w:i/>
          <w:lang w:val="fr-FR"/>
        </w:rPr>
        <w:t>Dit</w:t>
      </w:r>
    </w:p>
    <w:p w:rsidR="00E77CB3" w:rsidRPr="007F3E67" w:rsidRDefault="00E77CB3" w:rsidP="007F3E67">
      <w:pPr>
        <w:pStyle w:val="JuLista"/>
        <w:rPr>
          <w:lang w:val="fr-FR"/>
        </w:rPr>
      </w:pPr>
      <w:r w:rsidRPr="007F3E67">
        <w:rPr>
          <w:lang w:val="fr-FR"/>
        </w:rPr>
        <w:t>a)  que l</w:t>
      </w:r>
      <w:r w:rsidR="007F3E67" w:rsidRPr="007F3E67">
        <w:rPr>
          <w:lang w:val="fr-FR"/>
        </w:rPr>
        <w:t>’</w:t>
      </w:r>
      <w:r w:rsidRPr="007F3E67">
        <w:rPr>
          <w:lang w:val="fr-FR"/>
        </w:rPr>
        <w:t xml:space="preserve">État défendeur doit verser </w:t>
      </w:r>
      <w:r w:rsidR="00E235F1" w:rsidRPr="007F3E67">
        <w:rPr>
          <w:lang w:val="fr-FR"/>
        </w:rPr>
        <w:t>aux requérants</w:t>
      </w:r>
      <w:r w:rsidRPr="007F3E67">
        <w:rPr>
          <w:lang w:val="fr-FR"/>
        </w:rPr>
        <w:t>, dans les trois mois</w:t>
      </w:r>
      <w:r w:rsidR="00525F2C" w:rsidRPr="007F3E67">
        <w:rPr>
          <w:lang w:val="fr-FR"/>
        </w:rPr>
        <w:t xml:space="preserve"> </w:t>
      </w:r>
      <w:r w:rsidR="00E235F1" w:rsidRPr="007F3E67">
        <w:rPr>
          <w:lang w:val="fr-FR"/>
        </w:rPr>
        <w:t>à compter du jour où l</w:t>
      </w:r>
      <w:r w:rsidR="007F3E67" w:rsidRPr="007F3E67">
        <w:rPr>
          <w:lang w:val="fr-FR"/>
        </w:rPr>
        <w:t>’</w:t>
      </w:r>
      <w:r w:rsidR="00E235F1" w:rsidRPr="007F3E67">
        <w:rPr>
          <w:lang w:val="fr-FR"/>
        </w:rPr>
        <w:t>arrêt sera devenu définitif conformément à l</w:t>
      </w:r>
      <w:r w:rsidR="007F3E67" w:rsidRPr="007F3E67">
        <w:rPr>
          <w:lang w:val="fr-FR"/>
        </w:rPr>
        <w:t>’</w:t>
      </w:r>
      <w:r w:rsidR="00E235F1" w:rsidRPr="007F3E67">
        <w:rPr>
          <w:lang w:val="fr-FR"/>
        </w:rPr>
        <w:t>article 44 § 2 de la Convention</w:t>
      </w:r>
      <w:r w:rsidRPr="007F3E67">
        <w:rPr>
          <w:lang w:val="fr-FR"/>
        </w:rPr>
        <w:t>, les sommes suivantes</w:t>
      </w:r>
      <w:r w:rsidR="00525F2C" w:rsidRPr="007F3E67">
        <w:rPr>
          <w:lang w:val="fr-FR"/>
        </w:rPr>
        <w:t> :</w:t>
      </w:r>
    </w:p>
    <w:p w:rsidR="00E77CB3" w:rsidRPr="007F3E67" w:rsidRDefault="00E77CB3" w:rsidP="007F3E67">
      <w:pPr>
        <w:pStyle w:val="JuListi"/>
        <w:rPr>
          <w:lang w:val="fr-FR" w:eastAsia="en-GB"/>
        </w:rPr>
      </w:pPr>
      <w:r w:rsidRPr="007F3E67">
        <w:rPr>
          <w:lang w:val="fr-FR" w:eastAsia="en-GB"/>
        </w:rPr>
        <w:t>i</w:t>
      </w:r>
      <w:r w:rsidR="000C3E1B" w:rsidRPr="007F3E67">
        <w:rPr>
          <w:i/>
          <w:lang w:val="fr-FR" w:eastAsia="en-GB"/>
        </w:rPr>
        <w:t>.</w:t>
      </w:r>
      <w:r w:rsidRPr="007F3E67">
        <w:rPr>
          <w:lang w:val="fr-FR" w:eastAsia="en-GB"/>
        </w:rPr>
        <w:t>  </w:t>
      </w:r>
      <w:r w:rsidR="00EC3064" w:rsidRPr="007F3E67">
        <w:rPr>
          <w:lang w:val="fr-FR" w:eastAsia="en-GB"/>
        </w:rPr>
        <w:t>8</w:t>
      </w:r>
      <w:r w:rsidR="00121782" w:rsidRPr="007F3E67">
        <w:rPr>
          <w:lang w:val="fr-FR" w:eastAsia="en-GB"/>
        </w:rPr>
        <w:t>5</w:t>
      </w:r>
      <w:r w:rsidR="00E50E7F" w:rsidRPr="007F3E67">
        <w:rPr>
          <w:lang w:val="fr-FR" w:eastAsia="en-GB"/>
        </w:rPr>
        <w:t xml:space="preserve"> 000</w:t>
      </w:r>
      <w:r w:rsidRPr="007F3E67">
        <w:rPr>
          <w:lang w:val="fr-FR" w:eastAsia="en-GB"/>
        </w:rPr>
        <w:t xml:space="preserve"> EUR (</w:t>
      </w:r>
      <w:r w:rsidR="00EC3064" w:rsidRPr="007F3E67">
        <w:rPr>
          <w:lang w:val="fr-FR" w:eastAsia="en-GB"/>
        </w:rPr>
        <w:t>quatre-vingt-cinq</w:t>
      </w:r>
      <w:r w:rsidR="00C1353E" w:rsidRPr="007F3E67">
        <w:rPr>
          <w:lang w:val="fr-FR" w:eastAsia="en-GB"/>
        </w:rPr>
        <w:t xml:space="preserve"> mille</w:t>
      </w:r>
      <w:r w:rsidRPr="007F3E67">
        <w:rPr>
          <w:lang w:val="fr-FR" w:eastAsia="en-GB"/>
        </w:rPr>
        <w:t xml:space="preserve"> euros)</w:t>
      </w:r>
      <w:r w:rsidR="00C1353E" w:rsidRPr="007F3E67">
        <w:rPr>
          <w:lang w:val="fr-FR" w:eastAsia="en-GB"/>
        </w:rPr>
        <w:t xml:space="preserve"> à M. G. Azzolina</w:t>
      </w:r>
      <w:r w:rsidRPr="007F3E67">
        <w:rPr>
          <w:lang w:val="fr-FR" w:eastAsia="en-GB"/>
        </w:rPr>
        <w:t>, plus tout montant pouvant être dû à titre d</w:t>
      </w:r>
      <w:r w:rsidR="007F3E67" w:rsidRPr="007F3E67">
        <w:rPr>
          <w:lang w:val="fr-FR" w:eastAsia="en-GB"/>
        </w:rPr>
        <w:t>’</w:t>
      </w:r>
      <w:r w:rsidRPr="007F3E67">
        <w:rPr>
          <w:lang w:val="fr-FR" w:eastAsia="en-GB"/>
        </w:rPr>
        <w:t>impôt, pour dommage moral</w:t>
      </w:r>
      <w:r w:rsidR="000C3E1B" w:rsidRPr="007F3E67">
        <w:rPr>
          <w:lang w:val="fr-FR" w:eastAsia="en-GB"/>
        </w:rPr>
        <w:t>,</w:t>
      </w:r>
    </w:p>
    <w:p w:rsidR="00E77CB3" w:rsidRPr="007F3E67" w:rsidRDefault="00E77CB3" w:rsidP="007F3E67">
      <w:pPr>
        <w:pStyle w:val="JuListi"/>
        <w:rPr>
          <w:lang w:val="fr-FR" w:eastAsia="en-GB"/>
        </w:rPr>
      </w:pPr>
      <w:r w:rsidRPr="007F3E67">
        <w:rPr>
          <w:lang w:val="fr-FR" w:eastAsia="en-GB"/>
        </w:rPr>
        <w:t>ii</w:t>
      </w:r>
      <w:r w:rsidR="000C3E1B" w:rsidRPr="007F3E67">
        <w:rPr>
          <w:i/>
          <w:lang w:val="fr-FR" w:eastAsia="en-GB"/>
        </w:rPr>
        <w:t>.</w:t>
      </w:r>
      <w:r w:rsidRPr="007F3E67">
        <w:rPr>
          <w:lang w:val="fr-FR" w:eastAsia="en-GB"/>
        </w:rPr>
        <w:t>  </w:t>
      </w:r>
      <w:r w:rsidR="00EC3064" w:rsidRPr="007F3E67">
        <w:rPr>
          <w:lang w:val="fr-FR" w:eastAsia="en-GB"/>
        </w:rPr>
        <w:t>8</w:t>
      </w:r>
      <w:r w:rsidR="00C1353E" w:rsidRPr="007F3E67">
        <w:rPr>
          <w:lang w:val="fr-FR" w:eastAsia="en-GB"/>
        </w:rPr>
        <w:t>0 000</w:t>
      </w:r>
      <w:r w:rsidRPr="007F3E67">
        <w:rPr>
          <w:lang w:val="fr-FR" w:eastAsia="en-GB"/>
        </w:rPr>
        <w:t xml:space="preserve"> EUR (</w:t>
      </w:r>
      <w:r w:rsidR="00EC3064" w:rsidRPr="007F3E67">
        <w:rPr>
          <w:lang w:val="fr-FR" w:eastAsia="en-GB"/>
        </w:rPr>
        <w:t>quatre-vingt</w:t>
      </w:r>
      <w:r w:rsidR="00CF2943" w:rsidRPr="007F3E67">
        <w:rPr>
          <w:lang w:val="fr-FR" w:eastAsia="en-GB"/>
        </w:rPr>
        <w:t xml:space="preserve"> mille</w:t>
      </w:r>
      <w:r w:rsidRPr="007F3E67">
        <w:rPr>
          <w:lang w:val="fr-FR" w:eastAsia="en-GB"/>
        </w:rPr>
        <w:t xml:space="preserve"> euros), </w:t>
      </w:r>
      <w:r w:rsidR="00000524" w:rsidRPr="007F3E67">
        <w:rPr>
          <w:lang w:val="fr-FR" w:eastAsia="en-GB"/>
        </w:rPr>
        <w:t>aux requérants</w:t>
      </w:r>
      <w:r w:rsidR="00022C19" w:rsidRPr="007F3E67">
        <w:rPr>
          <w:lang w:val="fr-FR" w:eastAsia="en-GB"/>
        </w:rPr>
        <w:t xml:space="preserve"> de la requête</w:t>
      </w:r>
      <w:r w:rsidR="00000524" w:rsidRPr="007F3E67">
        <w:rPr>
          <w:lang w:val="fr-FR"/>
        </w:rPr>
        <w:t xml:space="preserve"> </w:t>
      </w:r>
      <w:r w:rsidR="00000524" w:rsidRPr="007F3E67">
        <w:rPr>
          <w:lang w:val="fr-FR" w:eastAsia="en-GB"/>
        </w:rPr>
        <w:t>n</w:t>
      </w:r>
      <w:r w:rsidR="00301040" w:rsidRPr="007F3E67">
        <w:rPr>
          <w:vertAlign w:val="superscript"/>
          <w:lang w:val="fr-FR" w:eastAsia="en-GB"/>
        </w:rPr>
        <w:t>o</w:t>
      </w:r>
      <w:r w:rsidR="00000524" w:rsidRPr="007F3E67">
        <w:rPr>
          <w:lang w:val="fr-FR" w:eastAsia="en-GB"/>
        </w:rPr>
        <w:t xml:space="preserve"> 28923/09 et</w:t>
      </w:r>
      <w:r w:rsidR="00022C19" w:rsidRPr="007F3E67">
        <w:rPr>
          <w:lang w:val="fr-FR" w:eastAsia="en-GB"/>
        </w:rPr>
        <w:t xml:space="preserve"> aux requérants de la requête n</w:t>
      </w:r>
      <w:r w:rsidR="00301040" w:rsidRPr="007F3E67">
        <w:rPr>
          <w:vertAlign w:val="superscript"/>
          <w:lang w:val="fr-FR" w:eastAsia="en-GB"/>
        </w:rPr>
        <w:t>o</w:t>
      </w:r>
      <w:r w:rsidR="00022C19" w:rsidRPr="007F3E67">
        <w:rPr>
          <w:lang w:val="fr-FR" w:eastAsia="en-GB"/>
        </w:rPr>
        <w:t xml:space="preserve"> 67599/10 </w:t>
      </w:r>
      <w:r w:rsidR="00000524" w:rsidRPr="007F3E67">
        <w:rPr>
          <w:lang w:val="fr-FR" w:eastAsia="en-GB"/>
        </w:rPr>
        <w:t>figurant sous les numéros 1-4, 6-8, 12</w:t>
      </w:r>
      <w:r w:rsidR="00E610DF" w:rsidRPr="007F3E67">
        <w:rPr>
          <w:lang w:val="fr-FR" w:eastAsia="en-GB"/>
        </w:rPr>
        <w:t xml:space="preserve">, </w:t>
      </w:r>
      <w:r w:rsidR="00886D8C" w:rsidRPr="007F3E67">
        <w:rPr>
          <w:lang w:val="fr-FR" w:eastAsia="en-GB"/>
        </w:rPr>
        <w:t>13, 15</w:t>
      </w:r>
      <w:r w:rsidR="00E610DF" w:rsidRPr="007F3E67">
        <w:rPr>
          <w:lang w:val="fr-FR" w:eastAsia="en-GB"/>
        </w:rPr>
        <w:t xml:space="preserve">, </w:t>
      </w:r>
      <w:r w:rsidR="00886D8C" w:rsidRPr="007F3E67">
        <w:rPr>
          <w:lang w:val="fr-FR" w:eastAsia="en-GB"/>
        </w:rPr>
        <w:t>16 et</w:t>
      </w:r>
      <w:r w:rsidR="00000524" w:rsidRPr="007F3E67">
        <w:rPr>
          <w:lang w:val="fr-FR" w:eastAsia="en-GB"/>
        </w:rPr>
        <w:t xml:space="preserve"> 19 dans la liste </w:t>
      </w:r>
      <w:r w:rsidR="00022C19" w:rsidRPr="007F3E67">
        <w:rPr>
          <w:lang w:val="fr-FR" w:eastAsia="en-GB"/>
        </w:rPr>
        <w:t>en annexe</w:t>
      </w:r>
      <w:r w:rsidR="00000524" w:rsidRPr="007F3E67">
        <w:rPr>
          <w:lang w:val="fr-FR" w:eastAsia="en-GB"/>
        </w:rPr>
        <w:t xml:space="preserve">, </w:t>
      </w:r>
      <w:r w:rsidRPr="007F3E67">
        <w:rPr>
          <w:lang w:val="fr-FR" w:eastAsia="en-GB"/>
        </w:rPr>
        <w:t xml:space="preserve">plus tout montant </w:t>
      </w:r>
      <w:r w:rsidR="005E37C6" w:rsidRPr="007F3E67">
        <w:rPr>
          <w:lang w:val="fr-FR" w:eastAsia="en-GB"/>
        </w:rPr>
        <w:t>pouvant être dû à titre d</w:t>
      </w:r>
      <w:r w:rsidR="007F3E67" w:rsidRPr="007F3E67">
        <w:rPr>
          <w:lang w:val="fr-FR" w:eastAsia="en-GB"/>
        </w:rPr>
        <w:t>’</w:t>
      </w:r>
      <w:r w:rsidR="005E37C6" w:rsidRPr="007F3E67">
        <w:rPr>
          <w:lang w:val="fr-FR" w:eastAsia="en-GB"/>
        </w:rPr>
        <w:t xml:space="preserve">impôt, pour </w:t>
      </w:r>
      <w:r w:rsidR="00000524" w:rsidRPr="007F3E67">
        <w:rPr>
          <w:lang w:val="fr-FR" w:eastAsia="en-GB"/>
        </w:rPr>
        <w:t>dommage moral</w:t>
      </w:r>
      <w:r w:rsidRPr="007F3E67">
        <w:rPr>
          <w:lang w:val="fr-FR" w:eastAsia="en-GB"/>
        </w:rPr>
        <w:t> ;</w:t>
      </w:r>
    </w:p>
    <w:p w:rsidR="00E77CB3" w:rsidRPr="007F3E67" w:rsidRDefault="00E77CB3" w:rsidP="007F3E67">
      <w:pPr>
        <w:pStyle w:val="JuLista"/>
        <w:rPr>
          <w:lang w:val="fr-FR"/>
        </w:rPr>
      </w:pPr>
      <w:r w:rsidRPr="007F3E67">
        <w:rPr>
          <w:lang w:val="fr-FR"/>
        </w:rPr>
        <w:t>b)  qu</w:t>
      </w:r>
      <w:r w:rsidR="007F3E67" w:rsidRPr="007F3E67">
        <w:rPr>
          <w:lang w:val="fr-FR"/>
        </w:rPr>
        <w:t>’</w:t>
      </w:r>
      <w:r w:rsidRPr="007F3E67">
        <w:rPr>
          <w:lang w:val="fr-FR"/>
        </w:rPr>
        <w:t>à compter de l</w:t>
      </w:r>
      <w:r w:rsidR="007F3E67" w:rsidRPr="007F3E67">
        <w:rPr>
          <w:lang w:val="fr-FR"/>
        </w:rPr>
        <w:t>’</w:t>
      </w:r>
      <w:r w:rsidRPr="007F3E67">
        <w:rPr>
          <w:lang w:val="fr-FR"/>
        </w:rPr>
        <w:t>expiration dudit délai et jusqu</w:t>
      </w:r>
      <w:r w:rsidR="007F3E67" w:rsidRPr="007F3E67">
        <w:rPr>
          <w:lang w:val="fr-FR"/>
        </w:rPr>
        <w:t>’</w:t>
      </w:r>
      <w:r w:rsidRPr="007F3E67">
        <w:rPr>
          <w:lang w:val="fr-FR"/>
        </w:rPr>
        <w:t>au versement, ces montants seront à majorer d</w:t>
      </w:r>
      <w:r w:rsidR="007F3E67" w:rsidRPr="007F3E67">
        <w:rPr>
          <w:lang w:val="fr-FR"/>
        </w:rPr>
        <w:t>’</w:t>
      </w:r>
      <w:r w:rsidRPr="007F3E67">
        <w:rPr>
          <w:lang w:val="fr-FR"/>
        </w:rPr>
        <w:t>un intérêt simple à un taux égal à celui de la facilité de prêt marginal de la Banque centrale européenne applicable pendant cette période, augmenté de trois points de pourcentage ;</w:t>
      </w:r>
    </w:p>
    <w:p w:rsidR="00E77CB3" w:rsidRPr="007F3E67" w:rsidRDefault="00E77CB3" w:rsidP="007F3E67">
      <w:pPr>
        <w:pStyle w:val="JuLista"/>
        <w:rPr>
          <w:lang w:val="fr-FR"/>
        </w:rPr>
      </w:pPr>
    </w:p>
    <w:p w:rsidR="00E77CB3" w:rsidRPr="007F3E67" w:rsidRDefault="00886D8C" w:rsidP="007F3E67">
      <w:pPr>
        <w:pStyle w:val="JuList"/>
        <w:rPr>
          <w:lang w:val="fr-FR"/>
        </w:rPr>
      </w:pPr>
      <w:r w:rsidRPr="007F3E67">
        <w:rPr>
          <w:lang w:val="fr-FR"/>
        </w:rPr>
        <w:t>8</w:t>
      </w:r>
      <w:r w:rsidR="00E77CB3" w:rsidRPr="007F3E67">
        <w:rPr>
          <w:lang w:val="fr-FR"/>
        </w:rPr>
        <w:t>.  </w:t>
      </w:r>
      <w:r w:rsidR="00E77CB3" w:rsidRPr="007F3E67">
        <w:rPr>
          <w:i/>
          <w:lang w:val="fr-FR"/>
        </w:rPr>
        <w:t>Rejette</w:t>
      </w:r>
      <w:r w:rsidR="00E77CB3" w:rsidRPr="007F3E67">
        <w:rPr>
          <w:lang w:val="fr-FR"/>
        </w:rPr>
        <w:t xml:space="preserve"> la demande de satisfaction équitable pour le surplus.</w:t>
      </w:r>
    </w:p>
    <w:p w:rsidR="00E77CB3" w:rsidRPr="007F3E67" w:rsidRDefault="00E77CB3" w:rsidP="007F3E67">
      <w:pPr>
        <w:pStyle w:val="JuParaLast"/>
        <w:rPr>
          <w:lang w:val="fr-FR"/>
        </w:rPr>
      </w:pPr>
      <w:r w:rsidRPr="007F3E67">
        <w:rPr>
          <w:lang w:val="fr-FR"/>
        </w:rPr>
        <w:t>Fait en français, puis communiqué par écrit le </w:t>
      </w:r>
      <w:r w:rsidR="009206B2" w:rsidRPr="007F3E67">
        <w:rPr>
          <w:lang w:val="fr-FR"/>
        </w:rPr>
        <w:t>26 octobre 2017</w:t>
      </w:r>
      <w:r w:rsidRPr="007F3E67">
        <w:rPr>
          <w:lang w:val="fr-FR"/>
        </w:rPr>
        <w:t>, en application de l</w:t>
      </w:r>
      <w:r w:rsidR="007F3E67" w:rsidRPr="007F3E67">
        <w:rPr>
          <w:lang w:val="fr-FR"/>
        </w:rPr>
        <w:t>’</w:t>
      </w:r>
      <w:r w:rsidRPr="007F3E67">
        <w:rPr>
          <w:lang w:val="fr-FR"/>
        </w:rPr>
        <w:t>article 77 §§ 2 et 3 du règlement</w:t>
      </w:r>
      <w:r w:rsidR="00AC0824" w:rsidRPr="007F3E67">
        <w:rPr>
          <w:lang w:val="fr-FR"/>
        </w:rPr>
        <w:t xml:space="preserve"> de la Cour</w:t>
      </w:r>
      <w:r w:rsidRPr="007F3E67">
        <w:rPr>
          <w:lang w:val="fr-FR"/>
        </w:rPr>
        <w:t>.</w:t>
      </w:r>
    </w:p>
    <w:p w:rsidR="00E77CB3" w:rsidRPr="007F3E67" w:rsidRDefault="00E235F1" w:rsidP="007F3E67">
      <w:pPr>
        <w:pStyle w:val="JuSigned"/>
        <w:keepNext/>
        <w:keepLines/>
        <w:tabs>
          <w:tab w:val="clear" w:pos="6407"/>
          <w:tab w:val="center" w:pos="6096"/>
        </w:tabs>
        <w:rPr>
          <w:lang w:val="fr-FR"/>
        </w:rPr>
      </w:pPr>
      <w:r w:rsidRPr="007F3E67">
        <w:rPr>
          <w:lang w:val="fr-FR"/>
        </w:rPr>
        <w:tab/>
        <w:t>Abel Campos</w:t>
      </w:r>
      <w:r w:rsidR="00E77CB3" w:rsidRPr="007F3E67">
        <w:rPr>
          <w:lang w:val="fr-FR"/>
        </w:rPr>
        <w:tab/>
      </w:r>
      <w:r w:rsidR="00525F2C" w:rsidRPr="007F3E67">
        <w:rPr>
          <w:szCs w:val="24"/>
          <w:lang w:val="fr-FR"/>
        </w:rPr>
        <w:t>Linos-Alexandre Sicilianos</w:t>
      </w:r>
      <w:r w:rsidR="00E77CB3" w:rsidRPr="007F3E67">
        <w:rPr>
          <w:lang w:val="fr-FR"/>
        </w:rPr>
        <w:br/>
      </w:r>
      <w:r w:rsidR="00E77CB3" w:rsidRPr="007F3E67">
        <w:rPr>
          <w:lang w:val="fr-FR"/>
        </w:rPr>
        <w:tab/>
      </w:r>
      <w:r w:rsidRPr="007F3E67">
        <w:rPr>
          <w:lang w:val="fr-FR"/>
        </w:rPr>
        <w:t>Greffier</w:t>
      </w:r>
      <w:r w:rsidR="00E77CB3" w:rsidRPr="007F3E67">
        <w:rPr>
          <w:lang w:val="fr-FR"/>
        </w:rPr>
        <w:tab/>
      </w:r>
      <w:r w:rsidRPr="007F3E67">
        <w:rPr>
          <w:lang w:val="fr-FR"/>
        </w:rPr>
        <w:t>Président</w:t>
      </w:r>
    </w:p>
    <w:p w:rsidR="007F3E67" w:rsidRPr="007F3E67" w:rsidRDefault="007F3E67" w:rsidP="007F3E67">
      <w:pPr>
        <w:jc w:val="left"/>
        <w:rPr>
          <w:lang w:val="fr-FR"/>
        </w:rPr>
      </w:pPr>
      <w:r w:rsidRPr="007F3E67">
        <w:rPr>
          <w:b/>
          <w:caps/>
          <w:lang w:val="fr-FR"/>
        </w:rPr>
        <w:br w:type="page"/>
      </w:r>
    </w:p>
    <w:p w:rsidR="0008551F" w:rsidRPr="007F3E67" w:rsidRDefault="0008551F" w:rsidP="007F3E67">
      <w:pPr>
        <w:pStyle w:val="JuTitle"/>
        <w:rPr>
          <w:lang w:val="fr-FR"/>
        </w:rPr>
      </w:pPr>
      <w:r w:rsidRPr="007F3E67">
        <w:rPr>
          <w:lang w:val="fr-FR"/>
        </w:rPr>
        <w:t>ANNEXE</w:t>
      </w:r>
    </w:p>
    <w:p w:rsidR="001B0EFD" w:rsidRPr="007F3E67" w:rsidRDefault="001B0EFD" w:rsidP="007F3E67">
      <w:pPr>
        <w:pStyle w:val="ECHRPara"/>
        <w:jc w:val="center"/>
        <w:rPr>
          <w:lang w:val="fr-FR"/>
        </w:rPr>
      </w:pPr>
      <w:r w:rsidRPr="007F3E67">
        <w:rPr>
          <w:lang w:val="fr-FR"/>
        </w:rPr>
        <w:t>Requête n</w:t>
      </w:r>
      <w:r w:rsidRPr="007F3E67">
        <w:rPr>
          <w:vertAlign w:val="superscript"/>
          <w:lang w:val="fr-FR"/>
        </w:rPr>
        <w:t>o</w:t>
      </w:r>
      <w:r w:rsidRPr="007F3E67">
        <w:rPr>
          <w:lang w:val="fr-FR"/>
        </w:rPr>
        <w:t xml:space="preserve"> 28923/09 (introduite le 27/05/2009)</w:t>
      </w:r>
    </w:p>
    <w:p w:rsidR="001B0EFD" w:rsidRPr="007F3E67" w:rsidRDefault="001B0EFD" w:rsidP="007F3E67">
      <w:pPr>
        <w:jc w:val="center"/>
        <w:rPr>
          <w:lang w:val="fr-FR"/>
        </w:rPr>
      </w:pPr>
    </w:p>
    <w:tbl>
      <w:tblPr>
        <w:tblStyle w:val="ECHRListTable"/>
        <w:tblW w:w="5335" w:type="pct"/>
        <w:tblInd w:w="-176" w:type="dxa"/>
        <w:tblLayout w:type="fixed"/>
        <w:tblLook w:val="05E0" w:firstRow="1" w:lastRow="1" w:firstColumn="1" w:lastColumn="1" w:noHBand="0" w:noVBand="1"/>
      </w:tblPr>
      <w:tblGrid>
        <w:gridCol w:w="567"/>
        <w:gridCol w:w="1825"/>
        <w:gridCol w:w="1311"/>
        <w:gridCol w:w="1353"/>
        <w:gridCol w:w="1417"/>
        <w:gridCol w:w="1608"/>
      </w:tblGrid>
      <w:tr w:rsidR="00455811" w:rsidRPr="007F3E67" w:rsidTr="00EB0980">
        <w:trPr>
          <w:cnfStyle w:val="100000000000" w:firstRow="1" w:lastRow="0" w:firstColumn="0" w:lastColumn="0" w:oddVBand="0" w:evenVBand="0" w:oddHBand="0" w:evenHBand="0" w:firstRowFirstColumn="0" w:firstRowLastColumn="0" w:lastRowFirstColumn="0" w:lastRowLastColumn="0"/>
        </w:trPr>
        <w:tc>
          <w:tcPr>
            <w:tcW w:w="351" w:type="pct"/>
          </w:tcPr>
          <w:p w:rsidR="00455811" w:rsidRPr="007F3E67" w:rsidRDefault="00455811" w:rsidP="007F3E67">
            <w:pPr>
              <w:jc w:val="left"/>
            </w:pPr>
            <w:r w:rsidRPr="007F3E67">
              <w:t>N</w:t>
            </w:r>
            <w:r w:rsidR="00301040" w:rsidRPr="007F3E67">
              <w:rPr>
                <w:vertAlign w:val="superscript"/>
              </w:rPr>
              <w:t>o</w:t>
            </w:r>
            <w:r w:rsidRPr="007F3E67">
              <w:t>.</w:t>
            </w:r>
          </w:p>
        </w:tc>
        <w:tc>
          <w:tcPr>
            <w:tcW w:w="1129" w:type="pct"/>
          </w:tcPr>
          <w:p w:rsidR="00455811" w:rsidRPr="007F3E67" w:rsidRDefault="00455811" w:rsidP="007F3E67">
            <w:pPr>
              <w:jc w:val="left"/>
            </w:pPr>
            <w:r w:rsidRPr="007F3E67">
              <w:rPr>
                <w:lang w:val="fr-FR"/>
              </w:rPr>
              <w:t>Prénom</w:t>
            </w:r>
            <w:r w:rsidRPr="007F3E67">
              <w:t xml:space="preserve"> NOM</w:t>
            </w:r>
          </w:p>
        </w:tc>
        <w:tc>
          <w:tcPr>
            <w:tcW w:w="811" w:type="pct"/>
          </w:tcPr>
          <w:p w:rsidR="00455811" w:rsidRPr="007F3E67" w:rsidRDefault="00455811" w:rsidP="007F3E67">
            <w:pPr>
              <w:jc w:val="left"/>
            </w:pPr>
            <w:r w:rsidRPr="007F3E67">
              <w:t>Date de naissance</w:t>
            </w:r>
          </w:p>
        </w:tc>
        <w:tc>
          <w:tcPr>
            <w:tcW w:w="837" w:type="pct"/>
          </w:tcPr>
          <w:p w:rsidR="00455811" w:rsidRPr="007F3E67" w:rsidRDefault="00455811" w:rsidP="007F3E67">
            <w:pPr>
              <w:jc w:val="left"/>
            </w:pPr>
            <w:r w:rsidRPr="007F3E67">
              <w:rPr>
                <w:lang w:val="fr-FR"/>
              </w:rPr>
              <w:t>Nationalité</w:t>
            </w:r>
          </w:p>
        </w:tc>
        <w:tc>
          <w:tcPr>
            <w:tcW w:w="877" w:type="pct"/>
          </w:tcPr>
          <w:p w:rsidR="00455811" w:rsidRPr="007F3E67" w:rsidRDefault="00455811" w:rsidP="007F3E67">
            <w:pPr>
              <w:jc w:val="left"/>
            </w:pPr>
            <w:r w:rsidRPr="007F3E67">
              <w:t xml:space="preserve">Lieu de </w:t>
            </w:r>
            <w:r w:rsidRPr="007F3E67">
              <w:rPr>
                <w:lang w:val="fr-FR"/>
              </w:rPr>
              <w:t>résidence</w:t>
            </w:r>
          </w:p>
        </w:tc>
        <w:tc>
          <w:tcPr>
            <w:tcW w:w="995" w:type="pct"/>
          </w:tcPr>
          <w:p w:rsidR="00455811" w:rsidRPr="007F3E67" w:rsidRDefault="00455811" w:rsidP="007F3E67">
            <w:pPr>
              <w:jc w:val="left"/>
            </w:pPr>
            <w:r w:rsidRPr="007F3E67">
              <w:rPr>
                <w:lang w:val="fr-FR"/>
              </w:rPr>
              <w:t>Représentant</w:t>
            </w:r>
          </w:p>
        </w:tc>
      </w:tr>
      <w:tr w:rsidR="00455811" w:rsidRPr="007F3E67" w:rsidTr="00EB0980">
        <w:tc>
          <w:tcPr>
            <w:tcW w:w="351" w:type="pct"/>
          </w:tcPr>
          <w:p w:rsidR="00455811" w:rsidRPr="007F3E67" w:rsidRDefault="00455811" w:rsidP="007F3E67">
            <w:pPr>
              <w:pStyle w:val="Paragrafoelenco"/>
              <w:numPr>
                <w:ilvl w:val="0"/>
                <w:numId w:val="19"/>
              </w:numPr>
              <w:ind w:left="360"/>
              <w:jc w:val="left"/>
              <w:rPr>
                <w:b/>
              </w:rPr>
            </w:pPr>
          </w:p>
        </w:tc>
        <w:tc>
          <w:tcPr>
            <w:tcW w:w="1129" w:type="pct"/>
          </w:tcPr>
          <w:p w:rsidR="00455811" w:rsidRPr="007F3E67" w:rsidRDefault="00455811" w:rsidP="007F3E67">
            <w:pPr>
              <w:jc w:val="left"/>
            </w:pPr>
            <w:r w:rsidRPr="007F3E67">
              <w:t>Giuseppe AZZOLINA</w:t>
            </w:r>
          </w:p>
        </w:tc>
        <w:tc>
          <w:tcPr>
            <w:tcW w:w="811" w:type="pct"/>
          </w:tcPr>
          <w:p w:rsidR="00455811" w:rsidRPr="007F3E67" w:rsidRDefault="00455811" w:rsidP="007F3E67">
            <w:pPr>
              <w:jc w:val="left"/>
            </w:pPr>
            <w:r w:rsidRPr="007F3E67">
              <w:t>08/12/1956</w:t>
            </w:r>
          </w:p>
        </w:tc>
        <w:tc>
          <w:tcPr>
            <w:tcW w:w="837" w:type="pct"/>
          </w:tcPr>
          <w:p w:rsidR="00455811" w:rsidRPr="007F3E67" w:rsidRDefault="00420FDB" w:rsidP="007F3E67">
            <w:pPr>
              <w:jc w:val="left"/>
            </w:pPr>
            <w:r w:rsidRPr="007F3E67">
              <w:t>I</w:t>
            </w:r>
            <w:r w:rsidR="00455811" w:rsidRPr="007F3E67">
              <w:t>talien</w:t>
            </w:r>
            <w:r w:rsidRPr="007F3E67">
              <w:t>ne</w:t>
            </w:r>
          </w:p>
        </w:tc>
        <w:tc>
          <w:tcPr>
            <w:tcW w:w="877" w:type="pct"/>
          </w:tcPr>
          <w:p w:rsidR="00455811" w:rsidRPr="007F3E67" w:rsidRDefault="00455811" w:rsidP="007F3E67">
            <w:pPr>
              <w:jc w:val="left"/>
            </w:pPr>
            <w:r w:rsidRPr="007F3E67">
              <w:t>Gênes</w:t>
            </w:r>
          </w:p>
        </w:tc>
        <w:tc>
          <w:tcPr>
            <w:tcW w:w="995" w:type="pct"/>
          </w:tcPr>
          <w:p w:rsidR="00420FDB" w:rsidRPr="007F3E67" w:rsidRDefault="00420FDB" w:rsidP="007F3E67">
            <w:pPr>
              <w:rPr>
                <w:bCs/>
                <w:sz w:val="22"/>
              </w:rPr>
            </w:pPr>
            <w:r w:rsidRPr="007F3E67">
              <w:rPr>
                <w:bCs/>
                <w:sz w:val="22"/>
              </w:rPr>
              <w:t>N. Paoletti</w:t>
            </w:r>
          </w:p>
          <w:p w:rsidR="00420FDB" w:rsidRPr="007F3E67" w:rsidRDefault="00420FDB" w:rsidP="007F3E67">
            <w:pPr>
              <w:rPr>
                <w:bCs/>
                <w:sz w:val="22"/>
              </w:rPr>
            </w:pPr>
            <w:r w:rsidRPr="007F3E67">
              <w:rPr>
                <w:bCs/>
                <w:sz w:val="22"/>
              </w:rPr>
              <w:t>A. Mari</w:t>
            </w:r>
          </w:p>
          <w:p w:rsidR="00455811" w:rsidRPr="007F3E67" w:rsidRDefault="00420FDB" w:rsidP="007F3E67">
            <w:pPr>
              <w:jc w:val="left"/>
            </w:pPr>
            <w:r w:rsidRPr="007F3E67">
              <w:rPr>
                <w:bCs/>
                <w:sz w:val="22"/>
              </w:rPr>
              <w:t>A. Lerici</w:t>
            </w:r>
          </w:p>
        </w:tc>
      </w:tr>
      <w:tr w:rsidR="00455811" w:rsidRPr="007F3E67" w:rsidTr="00EB0980">
        <w:tc>
          <w:tcPr>
            <w:tcW w:w="351" w:type="pct"/>
          </w:tcPr>
          <w:p w:rsidR="00455811" w:rsidRPr="007F3E67" w:rsidRDefault="00455811" w:rsidP="007F3E67">
            <w:pPr>
              <w:pStyle w:val="Paragrafoelenco"/>
              <w:numPr>
                <w:ilvl w:val="0"/>
                <w:numId w:val="19"/>
              </w:numPr>
              <w:ind w:left="360"/>
              <w:jc w:val="left"/>
              <w:rPr>
                <w:b/>
              </w:rPr>
            </w:pPr>
          </w:p>
        </w:tc>
        <w:tc>
          <w:tcPr>
            <w:tcW w:w="1129" w:type="pct"/>
          </w:tcPr>
          <w:p w:rsidR="00455811" w:rsidRPr="007F3E67" w:rsidRDefault="00455811" w:rsidP="007F3E67">
            <w:pPr>
              <w:jc w:val="left"/>
            </w:pPr>
            <w:r w:rsidRPr="007F3E67">
              <w:t>Sara BARTESAGHI GALLO</w:t>
            </w:r>
          </w:p>
        </w:tc>
        <w:tc>
          <w:tcPr>
            <w:tcW w:w="811" w:type="pct"/>
          </w:tcPr>
          <w:p w:rsidR="00455811" w:rsidRPr="007F3E67" w:rsidRDefault="00455811" w:rsidP="007F3E67">
            <w:pPr>
              <w:jc w:val="left"/>
            </w:pPr>
            <w:r w:rsidRPr="007F3E67">
              <w:t>07/05/1980</w:t>
            </w:r>
          </w:p>
        </w:tc>
        <w:tc>
          <w:tcPr>
            <w:tcW w:w="837" w:type="pct"/>
          </w:tcPr>
          <w:p w:rsidR="00455811" w:rsidRPr="007F3E67" w:rsidRDefault="00420FDB" w:rsidP="007F3E67">
            <w:pPr>
              <w:jc w:val="left"/>
            </w:pPr>
            <w:r w:rsidRPr="007F3E67">
              <w:t>I</w:t>
            </w:r>
            <w:r w:rsidR="00455811" w:rsidRPr="007F3E67">
              <w:t>talienne</w:t>
            </w:r>
          </w:p>
        </w:tc>
        <w:tc>
          <w:tcPr>
            <w:tcW w:w="877" w:type="pct"/>
          </w:tcPr>
          <w:p w:rsidR="00455811" w:rsidRPr="007F3E67" w:rsidRDefault="00447116" w:rsidP="007F3E67">
            <w:pPr>
              <w:jc w:val="left"/>
            </w:pPr>
            <w:r w:rsidRPr="007F3E67">
              <w:t>Lecco</w:t>
            </w:r>
          </w:p>
        </w:tc>
        <w:tc>
          <w:tcPr>
            <w:tcW w:w="995" w:type="pct"/>
          </w:tcPr>
          <w:p w:rsidR="00420FDB" w:rsidRPr="007F3E67" w:rsidRDefault="00420FDB" w:rsidP="007F3E67">
            <w:pPr>
              <w:rPr>
                <w:bCs/>
                <w:sz w:val="22"/>
              </w:rPr>
            </w:pPr>
            <w:r w:rsidRPr="007F3E67">
              <w:rPr>
                <w:bCs/>
                <w:sz w:val="22"/>
              </w:rPr>
              <w:t>N. Paoletti</w:t>
            </w:r>
          </w:p>
          <w:p w:rsidR="00420FDB" w:rsidRPr="007F3E67" w:rsidRDefault="00420FDB" w:rsidP="007F3E67">
            <w:pPr>
              <w:rPr>
                <w:bCs/>
                <w:sz w:val="22"/>
              </w:rPr>
            </w:pPr>
            <w:r w:rsidRPr="007F3E67">
              <w:rPr>
                <w:bCs/>
                <w:sz w:val="22"/>
              </w:rPr>
              <w:t>A. Mari</w:t>
            </w:r>
          </w:p>
          <w:p w:rsidR="00455811" w:rsidRPr="007F3E67" w:rsidRDefault="00420FDB" w:rsidP="007F3E67">
            <w:pPr>
              <w:rPr>
                <w:bCs/>
                <w:sz w:val="22"/>
              </w:rPr>
            </w:pPr>
            <w:r w:rsidRPr="007F3E67">
              <w:rPr>
                <w:bCs/>
                <w:sz w:val="22"/>
              </w:rPr>
              <w:t>G. Pagani</w:t>
            </w:r>
          </w:p>
        </w:tc>
      </w:tr>
      <w:tr w:rsidR="00455811" w:rsidRPr="007F3E67" w:rsidTr="00EB0980">
        <w:tc>
          <w:tcPr>
            <w:tcW w:w="351" w:type="pct"/>
          </w:tcPr>
          <w:p w:rsidR="00455811" w:rsidRPr="007F3E67" w:rsidRDefault="00455811" w:rsidP="007F3E67">
            <w:pPr>
              <w:pStyle w:val="Paragrafoelenco"/>
              <w:numPr>
                <w:ilvl w:val="0"/>
                <w:numId w:val="19"/>
              </w:numPr>
              <w:ind w:left="360"/>
              <w:jc w:val="left"/>
              <w:rPr>
                <w:b/>
              </w:rPr>
            </w:pPr>
          </w:p>
        </w:tc>
        <w:tc>
          <w:tcPr>
            <w:tcW w:w="1129" w:type="pct"/>
          </w:tcPr>
          <w:p w:rsidR="00455811" w:rsidRPr="007F3E67" w:rsidRDefault="00455811" w:rsidP="007F3E67">
            <w:pPr>
              <w:jc w:val="left"/>
            </w:pPr>
            <w:r w:rsidRPr="007F3E67">
              <w:t>Gianluca DELFINO</w:t>
            </w:r>
          </w:p>
        </w:tc>
        <w:tc>
          <w:tcPr>
            <w:tcW w:w="811" w:type="pct"/>
          </w:tcPr>
          <w:p w:rsidR="00455811" w:rsidRPr="007F3E67" w:rsidRDefault="00455811" w:rsidP="007F3E67">
            <w:pPr>
              <w:jc w:val="left"/>
            </w:pPr>
            <w:r w:rsidRPr="007F3E67">
              <w:t>08/06/1979</w:t>
            </w:r>
          </w:p>
        </w:tc>
        <w:tc>
          <w:tcPr>
            <w:tcW w:w="837" w:type="pct"/>
          </w:tcPr>
          <w:p w:rsidR="00455811" w:rsidRPr="007F3E67" w:rsidRDefault="00420FDB" w:rsidP="007F3E67">
            <w:pPr>
              <w:jc w:val="left"/>
            </w:pPr>
            <w:r w:rsidRPr="007F3E67">
              <w:t>I</w:t>
            </w:r>
            <w:r w:rsidR="00455811" w:rsidRPr="007F3E67">
              <w:t>talien</w:t>
            </w:r>
            <w:r w:rsidRPr="007F3E67">
              <w:t>ne</w:t>
            </w:r>
          </w:p>
          <w:p w:rsidR="00420FDB" w:rsidRPr="007F3E67" w:rsidRDefault="00420FDB" w:rsidP="007F3E67">
            <w:pPr>
              <w:jc w:val="left"/>
            </w:pPr>
          </w:p>
        </w:tc>
        <w:tc>
          <w:tcPr>
            <w:tcW w:w="877" w:type="pct"/>
          </w:tcPr>
          <w:p w:rsidR="00455811" w:rsidRPr="007F3E67" w:rsidRDefault="00455811" w:rsidP="007F3E67">
            <w:pPr>
              <w:jc w:val="left"/>
            </w:pPr>
            <w:r w:rsidRPr="007F3E67">
              <w:t>C</w:t>
            </w:r>
            <w:r w:rsidR="00420FDB" w:rsidRPr="007F3E67">
              <w:t>uneo</w:t>
            </w:r>
          </w:p>
        </w:tc>
        <w:tc>
          <w:tcPr>
            <w:tcW w:w="995" w:type="pct"/>
          </w:tcPr>
          <w:p w:rsidR="00420FDB" w:rsidRPr="007F3E67" w:rsidRDefault="00420FDB" w:rsidP="007F3E67">
            <w:pPr>
              <w:rPr>
                <w:bCs/>
                <w:sz w:val="22"/>
                <w:lang w:val="it-IT"/>
              </w:rPr>
            </w:pPr>
            <w:r w:rsidRPr="007F3E67">
              <w:rPr>
                <w:bCs/>
                <w:sz w:val="22"/>
                <w:lang w:val="it-IT"/>
              </w:rPr>
              <w:t>N. Paoletti</w:t>
            </w:r>
          </w:p>
          <w:p w:rsidR="00420FDB" w:rsidRPr="007F3E67" w:rsidRDefault="00420FDB" w:rsidP="007F3E67">
            <w:pPr>
              <w:rPr>
                <w:bCs/>
                <w:sz w:val="22"/>
                <w:lang w:val="it-IT"/>
              </w:rPr>
            </w:pPr>
            <w:r w:rsidRPr="007F3E67">
              <w:rPr>
                <w:bCs/>
                <w:sz w:val="22"/>
                <w:lang w:val="it-IT"/>
              </w:rPr>
              <w:t>A. Mari</w:t>
            </w:r>
          </w:p>
          <w:p w:rsidR="00455811" w:rsidRPr="007F3E67" w:rsidRDefault="00420FDB" w:rsidP="007F3E67">
            <w:pPr>
              <w:jc w:val="left"/>
              <w:rPr>
                <w:lang w:val="it-IT"/>
              </w:rPr>
            </w:pPr>
            <w:r w:rsidRPr="007F3E67">
              <w:rPr>
                <w:bCs/>
                <w:sz w:val="22"/>
                <w:lang w:val="it-IT"/>
              </w:rPr>
              <w:t>E. Menzione</w:t>
            </w:r>
          </w:p>
        </w:tc>
      </w:tr>
      <w:tr w:rsidR="00455811" w:rsidRPr="007F3E67" w:rsidTr="00EB0980">
        <w:tc>
          <w:tcPr>
            <w:tcW w:w="351" w:type="pct"/>
          </w:tcPr>
          <w:p w:rsidR="00455811" w:rsidRPr="007F3E67" w:rsidRDefault="00455811" w:rsidP="007F3E67">
            <w:pPr>
              <w:pStyle w:val="Paragrafoelenco"/>
              <w:numPr>
                <w:ilvl w:val="0"/>
                <w:numId w:val="19"/>
              </w:numPr>
              <w:ind w:left="360"/>
              <w:jc w:val="left"/>
              <w:rPr>
                <w:b/>
                <w:lang w:val="it-IT"/>
              </w:rPr>
            </w:pPr>
          </w:p>
        </w:tc>
        <w:tc>
          <w:tcPr>
            <w:tcW w:w="1129" w:type="pct"/>
          </w:tcPr>
          <w:p w:rsidR="00455811" w:rsidRPr="007F3E67" w:rsidRDefault="00455811" w:rsidP="007F3E67">
            <w:pPr>
              <w:jc w:val="left"/>
            </w:pPr>
            <w:r w:rsidRPr="007F3E67">
              <w:t>Nicola Anne DOHERTY</w:t>
            </w:r>
          </w:p>
        </w:tc>
        <w:tc>
          <w:tcPr>
            <w:tcW w:w="811" w:type="pct"/>
          </w:tcPr>
          <w:p w:rsidR="00455811" w:rsidRPr="007F3E67" w:rsidRDefault="00455811" w:rsidP="007F3E67">
            <w:pPr>
              <w:jc w:val="left"/>
            </w:pPr>
            <w:r w:rsidRPr="007F3E67">
              <w:t>24/07/1974</w:t>
            </w:r>
          </w:p>
        </w:tc>
        <w:tc>
          <w:tcPr>
            <w:tcW w:w="837" w:type="pct"/>
          </w:tcPr>
          <w:p w:rsidR="00455811" w:rsidRPr="007F3E67" w:rsidRDefault="00420FDB" w:rsidP="007F3E67">
            <w:pPr>
              <w:jc w:val="left"/>
            </w:pPr>
            <w:r w:rsidRPr="007F3E67">
              <w:t>B</w:t>
            </w:r>
            <w:r w:rsidR="00455811" w:rsidRPr="007F3E67">
              <w:t>ritannique</w:t>
            </w:r>
          </w:p>
        </w:tc>
        <w:tc>
          <w:tcPr>
            <w:tcW w:w="877" w:type="pct"/>
          </w:tcPr>
          <w:p w:rsidR="00455811" w:rsidRPr="007F3E67" w:rsidRDefault="00455811" w:rsidP="007F3E67">
            <w:pPr>
              <w:jc w:val="left"/>
            </w:pPr>
            <w:r w:rsidRPr="007F3E67">
              <w:t>Londres</w:t>
            </w:r>
          </w:p>
        </w:tc>
        <w:tc>
          <w:tcPr>
            <w:tcW w:w="995" w:type="pct"/>
          </w:tcPr>
          <w:p w:rsidR="00420FDB" w:rsidRPr="007F3E67" w:rsidRDefault="00420FDB" w:rsidP="007F3E67">
            <w:pPr>
              <w:rPr>
                <w:bCs/>
                <w:sz w:val="22"/>
                <w:lang w:val="it-IT"/>
              </w:rPr>
            </w:pPr>
            <w:r w:rsidRPr="007F3E67">
              <w:rPr>
                <w:bCs/>
                <w:sz w:val="22"/>
                <w:lang w:val="it-IT"/>
              </w:rPr>
              <w:t>N. Paoletti</w:t>
            </w:r>
          </w:p>
          <w:p w:rsidR="00420FDB" w:rsidRPr="007F3E67" w:rsidRDefault="00420FDB" w:rsidP="007F3E67">
            <w:pPr>
              <w:rPr>
                <w:bCs/>
                <w:sz w:val="22"/>
                <w:lang w:val="it-IT"/>
              </w:rPr>
            </w:pPr>
            <w:r w:rsidRPr="007F3E67">
              <w:rPr>
                <w:bCs/>
                <w:sz w:val="22"/>
                <w:lang w:val="it-IT"/>
              </w:rPr>
              <w:t>A. Mari</w:t>
            </w:r>
          </w:p>
          <w:p w:rsidR="00455811" w:rsidRPr="007F3E67" w:rsidRDefault="00420FDB" w:rsidP="007F3E67">
            <w:pPr>
              <w:jc w:val="left"/>
              <w:rPr>
                <w:lang w:val="it-IT"/>
              </w:rPr>
            </w:pPr>
            <w:r w:rsidRPr="007F3E67">
              <w:rPr>
                <w:bCs/>
                <w:sz w:val="22"/>
                <w:lang w:val="it-IT"/>
              </w:rPr>
              <w:t>G. Pagani</w:t>
            </w:r>
          </w:p>
        </w:tc>
      </w:tr>
      <w:tr w:rsidR="00455811" w:rsidRPr="007F3E67" w:rsidTr="00EB0980">
        <w:tc>
          <w:tcPr>
            <w:tcW w:w="351" w:type="pct"/>
          </w:tcPr>
          <w:p w:rsidR="00455811" w:rsidRPr="007F3E67" w:rsidRDefault="00455811" w:rsidP="007F3E67">
            <w:pPr>
              <w:pStyle w:val="Paragrafoelenco"/>
              <w:numPr>
                <w:ilvl w:val="0"/>
                <w:numId w:val="19"/>
              </w:numPr>
              <w:ind w:left="360"/>
              <w:jc w:val="left"/>
              <w:rPr>
                <w:b/>
                <w:lang w:val="it-IT"/>
              </w:rPr>
            </w:pPr>
          </w:p>
        </w:tc>
        <w:tc>
          <w:tcPr>
            <w:tcW w:w="1129" w:type="pct"/>
          </w:tcPr>
          <w:p w:rsidR="00455811" w:rsidRPr="007F3E67" w:rsidRDefault="00455811" w:rsidP="007F3E67">
            <w:pPr>
              <w:jc w:val="left"/>
            </w:pPr>
            <w:r w:rsidRPr="007F3E67">
              <w:t>Ian GALLOWAY</w:t>
            </w:r>
          </w:p>
        </w:tc>
        <w:tc>
          <w:tcPr>
            <w:tcW w:w="811" w:type="pct"/>
          </w:tcPr>
          <w:p w:rsidR="00455811" w:rsidRPr="007F3E67" w:rsidRDefault="00455811" w:rsidP="007F3E67">
            <w:pPr>
              <w:jc w:val="left"/>
            </w:pPr>
            <w:r w:rsidRPr="007F3E67">
              <w:t>21/03/1975</w:t>
            </w:r>
          </w:p>
        </w:tc>
        <w:tc>
          <w:tcPr>
            <w:tcW w:w="837" w:type="pct"/>
          </w:tcPr>
          <w:p w:rsidR="00455811" w:rsidRPr="007F3E67" w:rsidRDefault="00420FDB" w:rsidP="007F3E67">
            <w:pPr>
              <w:jc w:val="left"/>
            </w:pPr>
            <w:r w:rsidRPr="007F3E67">
              <w:t>A</w:t>
            </w:r>
            <w:r w:rsidR="00455811" w:rsidRPr="007F3E67">
              <w:t>méricain</w:t>
            </w:r>
            <w:r w:rsidRPr="007F3E67">
              <w:t>e</w:t>
            </w:r>
          </w:p>
        </w:tc>
        <w:tc>
          <w:tcPr>
            <w:tcW w:w="877" w:type="pct"/>
          </w:tcPr>
          <w:p w:rsidR="00455811" w:rsidRPr="007F3E67" w:rsidRDefault="00447116" w:rsidP="007F3E67">
            <w:pPr>
              <w:jc w:val="left"/>
            </w:pPr>
            <w:r w:rsidRPr="007F3E67">
              <w:t>Philadelphie</w:t>
            </w:r>
          </w:p>
        </w:tc>
        <w:tc>
          <w:tcPr>
            <w:tcW w:w="995" w:type="pct"/>
          </w:tcPr>
          <w:p w:rsidR="00420FDB" w:rsidRPr="007F3E67" w:rsidRDefault="00420FDB" w:rsidP="007F3E67">
            <w:pPr>
              <w:rPr>
                <w:bCs/>
                <w:sz w:val="22"/>
                <w:lang w:val="it-IT"/>
              </w:rPr>
            </w:pPr>
            <w:r w:rsidRPr="007F3E67">
              <w:rPr>
                <w:bCs/>
                <w:sz w:val="22"/>
                <w:lang w:val="it-IT"/>
              </w:rPr>
              <w:t>N. Paoletti</w:t>
            </w:r>
          </w:p>
          <w:p w:rsidR="00420FDB" w:rsidRPr="007F3E67" w:rsidRDefault="00420FDB" w:rsidP="007F3E67">
            <w:pPr>
              <w:rPr>
                <w:bCs/>
                <w:sz w:val="22"/>
                <w:lang w:val="it-IT"/>
              </w:rPr>
            </w:pPr>
            <w:r w:rsidRPr="007F3E67">
              <w:rPr>
                <w:bCs/>
                <w:sz w:val="22"/>
                <w:lang w:val="it-IT"/>
              </w:rPr>
              <w:t>A. Mari</w:t>
            </w:r>
          </w:p>
          <w:p w:rsidR="00455811" w:rsidRPr="007F3E67" w:rsidRDefault="00420FDB" w:rsidP="007F3E67">
            <w:pPr>
              <w:jc w:val="left"/>
              <w:rPr>
                <w:lang w:val="it-IT"/>
              </w:rPr>
            </w:pPr>
            <w:r w:rsidRPr="007F3E67">
              <w:rPr>
                <w:bCs/>
                <w:sz w:val="22"/>
                <w:lang w:val="it-IT"/>
              </w:rPr>
              <w:t>D. Rossi</w:t>
            </w:r>
          </w:p>
        </w:tc>
      </w:tr>
      <w:tr w:rsidR="00455811" w:rsidRPr="007F3E67" w:rsidTr="00EB0980">
        <w:tc>
          <w:tcPr>
            <w:tcW w:w="351" w:type="pct"/>
          </w:tcPr>
          <w:p w:rsidR="00455811" w:rsidRPr="007F3E67" w:rsidRDefault="00455811" w:rsidP="007F3E67">
            <w:pPr>
              <w:pStyle w:val="Paragrafoelenco"/>
              <w:numPr>
                <w:ilvl w:val="0"/>
                <w:numId w:val="19"/>
              </w:numPr>
              <w:ind w:left="360"/>
              <w:jc w:val="left"/>
              <w:rPr>
                <w:b/>
                <w:lang w:val="it-IT"/>
              </w:rPr>
            </w:pPr>
          </w:p>
        </w:tc>
        <w:tc>
          <w:tcPr>
            <w:tcW w:w="1129" w:type="pct"/>
          </w:tcPr>
          <w:p w:rsidR="00455811" w:rsidRPr="007F3E67" w:rsidRDefault="00455811" w:rsidP="007F3E67">
            <w:pPr>
              <w:jc w:val="left"/>
            </w:pPr>
            <w:r w:rsidRPr="007F3E67">
              <w:t>Federico GHIVAZZANI</w:t>
            </w:r>
          </w:p>
        </w:tc>
        <w:tc>
          <w:tcPr>
            <w:tcW w:w="811" w:type="pct"/>
          </w:tcPr>
          <w:p w:rsidR="00455811" w:rsidRPr="007F3E67" w:rsidRDefault="00455811" w:rsidP="007F3E67">
            <w:pPr>
              <w:jc w:val="left"/>
            </w:pPr>
            <w:r w:rsidRPr="007F3E67">
              <w:t>24/09/1969</w:t>
            </w:r>
          </w:p>
        </w:tc>
        <w:tc>
          <w:tcPr>
            <w:tcW w:w="837" w:type="pct"/>
          </w:tcPr>
          <w:p w:rsidR="00455811" w:rsidRPr="007F3E67" w:rsidRDefault="00420FDB" w:rsidP="007F3E67">
            <w:pPr>
              <w:jc w:val="left"/>
            </w:pPr>
            <w:r w:rsidRPr="007F3E67">
              <w:t>I</w:t>
            </w:r>
            <w:r w:rsidR="00455811" w:rsidRPr="007F3E67">
              <w:t>talien</w:t>
            </w:r>
            <w:r w:rsidRPr="007F3E67">
              <w:t>ne</w:t>
            </w:r>
          </w:p>
        </w:tc>
        <w:tc>
          <w:tcPr>
            <w:tcW w:w="877" w:type="pct"/>
          </w:tcPr>
          <w:p w:rsidR="00455811" w:rsidRPr="007F3E67" w:rsidRDefault="00455811" w:rsidP="007F3E67">
            <w:pPr>
              <w:jc w:val="left"/>
            </w:pPr>
            <w:r w:rsidRPr="007F3E67">
              <w:t>Lucques</w:t>
            </w:r>
          </w:p>
        </w:tc>
        <w:tc>
          <w:tcPr>
            <w:tcW w:w="995" w:type="pct"/>
          </w:tcPr>
          <w:p w:rsidR="00420FDB" w:rsidRPr="007F3E67" w:rsidRDefault="00420FDB" w:rsidP="007F3E67">
            <w:pPr>
              <w:rPr>
                <w:bCs/>
                <w:sz w:val="22"/>
                <w:lang w:val="it-IT"/>
              </w:rPr>
            </w:pPr>
            <w:r w:rsidRPr="007F3E67">
              <w:rPr>
                <w:bCs/>
                <w:sz w:val="22"/>
                <w:lang w:val="it-IT"/>
              </w:rPr>
              <w:t>N. Paoletti</w:t>
            </w:r>
          </w:p>
          <w:p w:rsidR="00420FDB" w:rsidRPr="007F3E67" w:rsidRDefault="00420FDB" w:rsidP="007F3E67">
            <w:pPr>
              <w:rPr>
                <w:bCs/>
                <w:sz w:val="22"/>
                <w:lang w:val="it-IT"/>
              </w:rPr>
            </w:pPr>
            <w:r w:rsidRPr="007F3E67">
              <w:rPr>
                <w:bCs/>
                <w:sz w:val="22"/>
                <w:lang w:val="it-IT"/>
              </w:rPr>
              <w:t>A. Mari</w:t>
            </w:r>
          </w:p>
          <w:p w:rsidR="00455811" w:rsidRPr="007F3E67" w:rsidRDefault="00420FDB" w:rsidP="007F3E67">
            <w:pPr>
              <w:jc w:val="left"/>
              <w:rPr>
                <w:lang w:val="it-IT"/>
              </w:rPr>
            </w:pPr>
            <w:r w:rsidRPr="007F3E67">
              <w:rPr>
                <w:bCs/>
                <w:sz w:val="22"/>
                <w:lang w:val="it-IT"/>
              </w:rPr>
              <w:t>E. Menzione</w:t>
            </w:r>
          </w:p>
        </w:tc>
      </w:tr>
      <w:tr w:rsidR="00455811" w:rsidRPr="007F3E67" w:rsidTr="00EB0980">
        <w:tc>
          <w:tcPr>
            <w:tcW w:w="351" w:type="pct"/>
          </w:tcPr>
          <w:p w:rsidR="00455811" w:rsidRPr="007F3E67" w:rsidRDefault="00455811" w:rsidP="007F3E67">
            <w:pPr>
              <w:pStyle w:val="Paragrafoelenco"/>
              <w:numPr>
                <w:ilvl w:val="0"/>
                <w:numId w:val="19"/>
              </w:numPr>
              <w:ind w:left="360"/>
              <w:jc w:val="left"/>
              <w:rPr>
                <w:b/>
                <w:lang w:val="it-IT"/>
              </w:rPr>
            </w:pPr>
          </w:p>
        </w:tc>
        <w:tc>
          <w:tcPr>
            <w:tcW w:w="1129" w:type="pct"/>
          </w:tcPr>
          <w:p w:rsidR="00455811" w:rsidRPr="007F3E67" w:rsidRDefault="00455811" w:rsidP="007F3E67">
            <w:pPr>
              <w:jc w:val="left"/>
            </w:pPr>
            <w:r w:rsidRPr="007F3E67">
              <w:t>Jens HERRMANN</w:t>
            </w:r>
          </w:p>
        </w:tc>
        <w:tc>
          <w:tcPr>
            <w:tcW w:w="811" w:type="pct"/>
          </w:tcPr>
          <w:p w:rsidR="00455811" w:rsidRPr="007F3E67" w:rsidRDefault="00455811" w:rsidP="007F3E67">
            <w:pPr>
              <w:jc w:val="left"/>
            </w:pPr>
            <w:r w:rsidRPr="007F3E67">
              <w:t>13/10/1972</w:t>
            </w:r>
          </w:p>
        </w:tc>
        <w:tc>
          <w:tcPr>
            <w:tcW w:w="837" w:type="pct"/>
          </w:tcPr>
          <w:p w:rsidR="00455811" w:rsidRPr="007F3E67" w:rsidRDefault="00420FDB" w:rsidP="007F3E67">
            <w:pPr>
              <w:jc w:val="left"/>
            </w:pPr>
            <w:r w:rsidRPr="007F3E67">
              <w:t>A</w:t>
            </w:r>
            <w:r w:rsidR="00455811" w:rsidRPr="007F3E67">
              <w:t>llemand</w:t>
            </w:r>
            <w:r w:rsidRPr="007F3E67">
              <w:t>e</w:t>
            </w:r>
          </w:p>
        </w:tc>
        <w:tc>
          <w:tcPr>
            <w:tcW w:w="877" w:type="pct"/>
          </w:tcPr>
          <w:p w:rsidR="00455811" w:rsidRPr="007F3E67" w:rsidRDefault="00455811" w:rsidP="007F3E67">
            <w:pPr>
              <w:jc w:val="left"/>
            </w:pPr>
            <w:r w:rsidRPr="007F3E67">
              <w:t>B</w:t>
            </w:r>
            <w:r w:rsidR="00420FDB" w:rsidRPr="007F3E67">
              <w:t>erlin</w:t>
            </w:r>
          </w:p>
        </w:tc>
        <w:tc>
          <w:tcPr>
            <w:tcW w:w="995" w:type="pct"/>
          </w:tcPr>
          <w:p w:rsidR="00420FDB" w:rsidRPr="007F3E67" w:rsidRDefault="00420FDB" w:rsidP="007F3E67">
            <w:pPr>
              <w:rPr>
                <w:bCs/>
                <w:sz w:val="22"/>
                <w:lang w:val="it-IT"/>
              </w:rPr>
            </w:pPr>
            <w:r w:rsidRPr="007F3E67">
              <w:rPr>
                <w:bCs/>
                <w:sz w:val="22"/>
                <w:lang w:val="it-IT"/>
              </w:rPr>
              <w:t>N. Paoletti</w:t>
            </w:r>
          </w:p>
          <w:p w:rsidR="00420FDB" w:rsidRPr="007F3E67" w:rsidRDefault="00420FDB" w:rsidP="007F3E67">
            <w:pPr>
              <w:rPr>
                <w:bCs/>
                <w:sz w:val="22"/>
                <w:lang w:val="it-IT"/>
              </w:rPr>
            </w:pPr>
            <w:r w:rsidRPr="007F3E67">
              <w:rPr>
                <w:bCs/>
                <w:sz w:val="22"/>
                <w:lang w:val="it-IT"/>
              </w:rPr>
              <w:t>A. Mari</w:t>
            </w:r>
          </w:p>
          <w:p w:rsidR="00455811" w:rsidRPr="007F3E67" w:rsidRDefault="00420FDB" w:rsidP="007F3E67">
            <w:pPr>
              <w:jc w:val="left"/>
              <w:rPr>
                <w:lang w:val="it-IT"/>
              </w:rPr>
            </w:pPr>
            <w:r w:rsidRPr="007F3E67">
              <w:rPr>
                <w:sz w:val="22"/>
                <w:lang w:val="it-IT"/>
              </w:rPr>
              <w:t>C. Malossi</w:t>
            </w:r>
          </w:p>
        </w:tc>
      </w:tr>
      <w:tr w:rsidR="00455811" w:rsidRPr="007F3E67" w:rsidTr="00EB0980">
        <w:tc>
          <w:tcPr>
            <w:tcW w:w="351" w:type="pct"/>
          </w:tcPr>
          <w:p w:rsidR="00455811" w:rsidRPr="007F3E67" w:rsidRDefault="00455811" w:rsidP="007F3E67">
            <w:pPr>
              <w:pStyle w:val="Paragrafoelenco"/>
              <w:numPr>
                <w:ilvl w:val="0"/>
                <w:numId w:val="19"/>
              </w:numPr>
              <w:ind w:left="360"/>
              <w:jc w:val="left"/>
              <w:rPr>
                <w:b/>
                <w:lang w:val="it-IT"/>
              </w:rPr>
            </w:pPr>
          </w:p>
        </w:tc>
        <w:tc>
          <w:tcPr>
            <w:tcW w:w="1129" w:type="pct"/>
          </w:tcPr>
          <w:p w:rsidR="00455811" w:rsidRPr="007F3E67" w:rsidRDefault="00455811" w:rsidP="007F3E67">
            <w:pPr>
              <w:jc w:val="left"/>
            </w:pPr>
            <w:r w:rsidRPr="007F3E67">
              <w:t>Richard Robert MOTH</w:t>
            </w:r>
          </w:p>
        </w:tc>
        <w:tc>
          <w:tcPr>
            <w:tcW w:w="811" w:type="pct"/>
          </w:tcPr>
          <w:p w:rsidR="00455811" w:rsidRPr="007F3E67" w:rsidRDefault="00455811" w:rsidP="007F3E67">
            <w:pPr>
              <w:jc w:val="left"/>
            </w:pPr>
            <w:r w:rsidRPr="007F3E67">
              <w:t>09/11/1968</w:t>
            </w:r>
          </w:p>
        </w:tc>
        <w:tc>
          <w:tcPr>
            <w:tcW w:w="837" w:type="pct"/>
          </w:tcPr>
          <w:p w:rsidR="00455811" w:rsidRPr="007F3E67" w:rsidRDefault="00420FDB" w:rsidP="007F3E67">
            <w:pPr>
              <w:jc w:val="left"/>
            </w:pPr>
            <w:r w:rsidRPr="007F3E67">
              <w:t>B</w:t>
            </w:r>
            <w:r w:rsidR="00455811" w:rsidRPr="007F3E67">
              <w:t>ritannique</w:t>
            </w:r>
          </w:p>
        </w:tc>
        <w:tc>
          <w:tcPr>
            <w:tcW w:w="877" w:type="pct"/>
          </w:tcPr>
          <w:p w:rsidR="00455811" w:rsidRPr="007F3E67" w:rsidRDefault="00455811" w:rsidP="007F3E67">
            <w:pPr>
              <w:jc w:val="left"/>
            </w:pPr>
            <w:r w:rsidRPr="007F3E67">
              <w:t>Londres</w:t>
            </w:r>
          </w:p>
        </w:tc>
        <w:tc>
          <w:tcPr>
            <w:tcW w:w="995" w:type="pct"/>
          </w:tcPr>
          <w:p w:rsidR="00420FDB" w:rsidRPr="007F3E67" w:rsidRDefault="00420FDB" w:rsidP="007F3E67">
            <w:pPr>
              <w:rPr>
                <w:bCs/>
                <w:sz w:val="22"/>
                <w:lang w:val="it-IT"/>
              </w:rPr>
            </w:pPr>
            <w:r w:rsidRPr="007F3E67">
              <w:rPr>
                <w:bCs/>
                <w:sz w:val="22"/>
                <w:lang w:val="it-IT"/>
              </w:rPr>
              <w:t>N. Paoletti</w:t>
            </w:r>
          </w:p>
          <w:p w:rsidR="00420FDB" w:rsidRPr="007F3E67" w:rsidRDefault="00420FDB" w:rsidP="007F3E67">
            <w:pPr>
              <w:rPr>
                <w:bCs/>
                <w:sz w:val="22"/>
                <w:lang w:val="it-IT"/>
              </w:rPr>
            </w:pPr>
            <w:r w:rsidRPr="007F3E67">
              <w:rPr>
                <w:bCs/>
                <w:sz w:val="22"/>
                <w:lang w:val="it-IT"/>
              </w:rPr>
              <w:t>A. Mari</w:t>
            </w:r>
          </w:p>
          <w:p w:rsidR="00455811" w:rsidRPr="007F3E67" w:rsidRDefault="00420FDB" w:rsidP="007F3E67">
            <w:pPr>
              <w:jc w:val="left"/>
              <w:rPr>
                <w:lang w:val="it-IT"/>
              </w:rPr>
            </w:pPr>
            <w:r w:rsidRPr="007F3E67">
              <w:rPr>
                <w:bCs/>
                <w:sz w:val="22"/>
                <w:lang w:val="it-IT"/>
              </w:rPr>
              <w:t>G. Pagani</w:t>
            </w:r>
          </w:p>
        </w:tc>
      </w:tr>
      <w:tr w:rsidR="00455811" w:rsidRPr="007F3E67" w:rsidTr="00EB0980">
        <w:tc>
          <w:tcPr>
            <w:tcW w:w="351" w:type="pct"/>
          </w:tcPr>
          <w:p w:rsidR="00455811" w:rsidRPr="007F3E67" w:rsidRDefault="00455811" w:rsidP="007F3E67">
            <w:pPr>
              <w:pStyle w:val="Paragrafoelenco"/>
              <w:numPr>
                <w:ilvl w:val="0"/>
                <w:numId w:val="19"/>
              </w:numPr>
              <w:ind w:left="360"/>
              <w:jc w:val="left"/>
              <w:rPr>
                <w:b/>
                <w:lang w:val="it-IT"/>
              </w:rPr>
            </w:pPr>
          </w:p>
        </w:tc>
        <w:tc>
          <w:tcPr>
            <w:tcW w:w="1129" w:type="pct"/>
          </w:tcPr>
          <w:p w:rsidR="00455811" w:rsidRPr="007F3E67" w:rsidRDefault="00455811" w:rsidP="007F3E67">
            <w:pPr>
              <w:jc w:val="left"/>
            </w:pPr>
            <w:r w:rsidRPr="007F3E67">
              <w:t>Achim NATHRATH</w:t>
            </w:r>
          </w:p>
        </w:tc>
        <w:tc>
          <w:tcPr>
            <w:tcW w:w="811" w:type="pct"/>
          </w:tcPr>
          <w:p w:rsidR="00455811" w:rsidRPr="007F3E67" w:rsidRDefault="00455811" w:rsidP="007F3E67">
            <w:pPr>
              <w:jc w:val="left"/>
            </w:pPr>
            <w:r w:rsidRPr="007F3E67">
              <w:t>31/12/1969</w:t>
            </w:r>
          </w:p>
        </w:tc>
        <w:tc>
          <w:tcPr>
            <w:tcW w:w="837" w:type="pct"/>
          </w:tcPr>
          <w:p w:rsidR="00455811" w:rsidRPr="007F3E67" w:rsidRDefault="00420FDB" w:rsidP="007F3E67">
            <w:pPr>
              <w:jc w:val="left"/>
            </w:pPr>
            <w:r w:rsidRPr="007F3E67">
              <w:t>A</w:t>
            </w:r>
            <w:r w:rsidR="00455811" w:rsidRPr="007F3E67">
              <w:t>llemand</w:t>
            </w:r>
            <w:r w:rsidRPr="007F3E67">
              <w:t>e</w:t>
            </w:r>
          </w:p>
        </w:tc>
        <w:tc>
          <w:tcPr>
            <w:tcW w:w="877" w:type="pct"/>
          </w:tcPr>
          <w:p w:rsidR="00455811" w:rsidRPr="007F3E67" w:rsidRDefault="00455811" w:rsidP="007F3E67">
            <w:pPr>
              <w:jc w:val="left"/>
            </w:pPr>
            <w:r w:rsidRPr="007F3E67">
              <w:t>M</w:t>
            </w:r>
            <w:r w:rsidR="00420FDB" w:rsidRPr="007F3E67">
              <w:t>unich</w:t>
            </w:r>
          </w:p>
        </w:tc>
        <w:tc>
          <w:tcPr>
            <w:tcW w:w="995" w:type="pct"/>
          </w:tcPr>
          <w:p w:rsidR="00420FDB" w:rsidRPr="007F3E67" w:rsidRDefault="00420FDB" w:rsidP="007F3E67">
            <w:pPr>
              <w:rPr>
                <w:bCs/>
                <w:sz w:val="22"/>
                <w:lang w:val="it-IT"/>
              </w:rPr>
            </w:pPr>
            <w:r w:rsidRPr="007F3E67">
              <w:rPr>
                <w:bCs/>
                <w:sz w:val="22"/>
                <w:lang w:val="it-IT"/>
              </w:rPr>
              <w:t>N. Paoletti</w:t>
            </w:r>
          </w:p>
          <w:p w:rsidR="00420FDB" w:rsidRPr="007F3E67" w:rsidRDefault="00420FDB" w:rsidP="007F3E67">
            <w:pPr>
              <w:rPr>
                <w:bCs/>
                <w:sz w:val="22"/>
                <w:lang w:val="it-IT"/>
              </w:rPr>
            </w:pPr>
            <w:r w:rsidRPr="007F3E67">
              <w:rPr>
                <w:bCs/>
                <w:sz w:val="22"/>
                <w:lang w:val="it-IT"/>
              </w:rPr>
              <w:t>A. Mari</w:t>
            </w:r>
          </w:p>
          <w:p w:rsidR="00455811" w:rsidRPr="007F3E67" w:rsidRDefault="00420FDB" w:rsidP="007F3E67">
            <w:pPr>
              <w:rPr>
                <w:bCs/>
                <w:sz w:val="22"/>
                <w:lang w:val="it-IT"/>
              </w:rPr>
            </w:pPr>
            <w:r w:rsidRPr="007F3E67">
              <w:rPr>
                <w:bCs/>
                <w:sz w:val="22"/>
                <w:lang w:val="it-IT"/>
              </w:rPr>
              <w:t>D. Rossi</w:t>
            </w:r>
          </w:p>
        </w:tc>
      </w:tr>
      <w:tr w:rsidR="00455811" w:rsidRPr="007F3E67" w:rsidTr="00EB0980">
        <w:tc>
          <w:tcPr>
            <w:tcW w:w="351" w:type="pct"/>
          </w:tcPr>
          <w:p w:rsidR="00455811" w:rsidRPr="007F3E67" w:rsidRDefault="00455811" w:rsidP="007F3E67">
            <w:pPr>
              <w:pStyle w:val="Paragrafoelenco"/>
              <w:numPr>
                <w:ilvl w:val="0"/>
                <w:numId w:val="19"/>
              </w:numPr>
              <w:ind w:left="360"/>
              <w:jc w:val="left"/>
              <w:rPr>
                <w:b/>
                <w:lang w:val="it-IT"/>
              </w:rPr>
            </w:pPr>
          </w:p>
        </w:tc>
        <w:tc>
          <w:tcPr>
            <w:tcW w:w="1129" w:type="pct"/>
          </w:tcPr>
          <w:p w:rsidR="005B1238" w:rsidRPr="007F3E67" w:rsidRDefault="00455811" w:rsidP="007F3E67">
            <w:pPr>
              <w:jc w:val="left"/>
            </w:pPr>
            <w:r w:rsidRPr="007F3E67">
              <w:t>Arianna</w:t>
            </w:r>
          </w:p>
          <w:p w:rsidR="00455811" w:rsidRPr="007F3E67" w:rsidRDefault="00455811" w:rsidP="007F3E67">
            <w:pPr>
              <w:jc w:val="left"/>
            </w:pPr>
            <w:r w:rsidRPr="007F3E67">
              <w:t>SUBRI</w:t>
            </w:r>
          </w:p>
        </w:tc>
        <w:tc>
          <w:tcPr>
            <w:tcW w:w="811" w:type="pct"/>
          </w:tcPr>
          <w:p w:rsidR="00455811" w:rsidRPr="007F3E67" w:rsidRDefault="00455811" w:rsidP="007F3E67">
            <w:pPr>
              <w:jc w:val="left"/>
            </w:pPr>
            <w:r w:rsidRPr="007F3E67">
              <w:t>10/12/1975</w:t>
            </w:r>
          </w:p>
        </w:tc>
        <w:tc>
          <w:tcPr>
            <w:tcW w:w="837" w:type="pct"/>
          </w:tcPr>
          <w:p w:rsidR="00455811" w:rsidRPr="007F3E67" w:rsidRDefault="00420FDB" w:rsidP="007F3E67">
            <w:pPr>
              <w:jc w:val="left"/>
            </w:pPr>
            <w:r w:rsidRPr="007F3E67">
              <w:t>I</w:t>
            </w:r>
            <w:r w:rsidR="00455811" w:rsidRPr="007F3E67">
              <w:t>talienne</w:t>
            </w:r>
          </w:p>
        </w:tc>
        <w:tc>
          <w:tcPr>
            <w:tcW w:w="877" w:type="pct"/>
          </w:tcPr>
          <w:p w:rsidR="00455811" w:rsidRPr="007F3E67" w:rsidRDefault="00455811" w:rsidP="007F3E67">
            <w:pPr>
              <w:jc w:val="left"/>
            </w:pPr>
            <w:r w:rsidRPr="007F3E67">
              <w:t>Pise</w:t>
            </w:r>
          </w:p>
        </w:tc>
        <w:tc>
          <w:tcPr>
            <w:tcW w:w="995" w:type="pct"/>
          </w:tcPr>
          <w:p w:rsidR="00420FDB" w:rsidRPr="007F3E67" w:rsidRDefault="00420FDB" w:rsidP="007F3E67">
            <w:pPr>
              <w:rPr>
                <w:bCs/>
                <w:sz w:val="22"/>
                <w:lang w:val="it-IT"/>
              </w:rPr>
            </w:pPr>
            <w:r w:rsidRPr="007F3E67">
              <w:rPr>
                <w:bCs/>
                <w:sz w:val="22"/>
                <w:lang w:val="it-IT"/>
              </w:rPr>
              <w:t>N. Paoletti</w:t>
            </w:r>
          </w:p>
          <w:p w:rsidR="00420FDB" w:rsidRPr="007F3E67" w:rsidRDefault="00420FDB" w:rsidP="007F3E67">
            <w:pPr>
              <w:rPr>
                <w:bCs/>
                <w:sz w:val="22"/>
                <w:lang w:val="it-IT"/>
              </w:rPr>
            </w:pPr>
            <w:r w:rsidRPr="007F3E67">
              <w:rPr>
                <w:bCs/>
                <w:sz w:val="22"/>
                <w:lang w:val="it-IT"/>
              </w:rPr>
              <w:t>A. Mari</w:t>
            </w:r>
          </w:p>
          <w:p w:rsidR="00455811" w:rsidRPr="007F3E67" w:rsidRDefault="00420FDB" w:rsidP="007F3E67">
            <w:pPr>
              <w:jc w:val="left"/>
              <w:rPr>
                <w:lang w:val="it-IT"/>
              </w:rPr>
            </w:pPr>
            <w:r w:rsidRPr="007F3E67">
              <w:rPr>
                <w:bCs/>
                <w:sz w:val="22"/>
                <w:lang w:val="it-IT"/>
              </w:rPr>
              <w:t>F. Micali</w:t>
            </w:r>
          </w:p>
        </w:tc>
      </w:tr>
      <w:tr w:rsidR="00455811" w:rsidRPr="007F3E67" w:rsidTr="00EB0980">
        <w:tc>
          <w:tcPr>
            <w:tcW w:w="351" w:type="pct"/>
          </w:tcPr>
          <w:p w:rsidR="00455811" w:rsidRPr="007F3E67" w:rsidRDefault="00455811" w:rsidP="007F3E67">
            <w:pPr>
              <w:pStyle w:val="Paragrafoelenco"/>
              <w:numPr>
                <w:ilvl w:val="0"/>
                <w:numId w:val="19"/>
              </w:numPr>
              <w:ind w:left="360"/>
              <w:jc w:val="left"/>
              <w:rPr>
                <w:b/>
                <w:lang w:val="it-IT"/>
              </w:rPr>
            </w:pPr>
          </w:p>
        </w:tc>
        <w:tc>
          <w:tcPr>
            <w:tcW w:w="1129" w:type="pct"/>
          </w:tcPr>
          <w:p w:rsidR="00455811" w:rsidRPr="007F3E67" w:rsidRDefault="00455811" w:rsidP="007F3E67">
            <w:pPr>
              <w:jc w:val="left"/>
            </w:pPr>
            <w:r w:rsidRPr="007F3E67">
              <w:t>Theresa TREIBER</w:t>
            </w:r>
          </w:p>
        </w:tc>
        <w:tc>
          <w:tcPr>
            <w:tcW w:w="811" w:type="pct"/>
          </w:tcPr>
          <w:p w:rsidR="00455811" w:rsidRPr="007F3E67" w:rsidRDefault="00455811" w:rsidP="007F3E67">
            <w:pPr>
              <w:jc w:val="left"/>
            </w:pPr>
            <w:r w:rsidRPr="007F3E67">
              <w:t>09/08/1967</w:t>
            </w:r>
          </w:p>
        </w:tc>
        <w:tc>
          <w:tcPr>
            <w:tcW w:w="837" w:type="pct"/>
          </w:tcPr>
          <w:p w:rsidR="00455811" w:rsidRPr="007F3E67" w:rsidRDefault="00420FDB" w:rsidP="007F3E67">
            <w:pPr>
              <w:jc w:val="left"/>
            </w:pPr>
            <w:r w:rsidRPr="007F3E67">
              <w:t>A</w:t>
            </w:r>
            <w:r w:rsidR="00455811" w:rsidRPr="007F3E67">
              <w:t>llemande</w:t>
            </w:r>
          </w:p>
        </w:tc>
        <w:tc>
          <w:tcPr>
            <w:tcW w:w="877" w:type="pct"/>
          </w:tcPr>
          <w:p w:rsidR="00455811" w:rsidRPr="007F3E67" w:rsidRDefault="00455811" w:rsidP="007F3E67">
            <w:pPr>
              <w:jc w:val="left"/>
            </w:pPr>
            <w:r w:rsidRPr="007F3E67">
              <w:t>Munich</w:t>
            </w:r>
          </w:p>
        </w:tc>
        <w:tc>
          <w:tcPr>
            <w:tcW w:w="995" w:type="pct"/>
          </w:tcPr>
          <w:p w:rsidR="00420FDB" w:rsidRPr="007F3E67" w:rsidRDefault="00420FDB" w:rsidP="007F3E67">
            <w:pPr>
              <w:rPr>
                <w:bCs/>
                <w:sz w:val="22"/>
                <w:lang w:val="it-IT"/>
              </w:rPr>
            </w:pPr>
            <w:r w:rsidRPr="007F3E67">
              <w:rPr>
                <w:bCs/>
                <w:sz w:val="22"/>
                <w:lang w:val="it-IT"/>
              </w:rPr>
              <w:t>N. Paoletti</w:t>
            </w:r>
          </w:p>
          <w:p w:rsidR="00420FDB" w:rsidRPr="007F3E67" w:rsidRDefault="00420FDB" w:rsidP="007F3E67">
            <w:pPr>
              <w:rPr>
                <w:bCs/>
                <w:sz w:val="22"/>
                <w:lang w:val="it-IT"/>
              </w:rPr>
            </w:pPr>
            <w:r w:rsidRPr="007F3E67">
              <w:rPr>
                <w:bCs/>
                <w:sz w:val="22"/>
                <w:lang w:val="it-IT"/>
              </w:rPr>
              <w:t>A. Mari</w:t>
            </w:r>
          </w:p>
          <w:p w:rsidR="00455811" w:rsidRPr="007F3E67" w:rsidRDefault="00420FDB" w:rsidP="007F3E67">
            <w:pPr>
              <w:jc w:val="left"/>
              <w:rPr>
                <w:lang w:val="it-IT"/>
              </w:rPr>
            </w:pPr>
            <w:r w:rsidRPr="007F3E67">
              <w:rPr>
                <w:bCs/>
                <w:sz w:val="22"/>
                <w:lang w:val="it-IT"/>
              </w:rPr>
              <w:t>D. Rossi</w:t>
            </w:r>
          </w:p>
        </w:tc>
      </w:tr>
      <w:tr w:rsidR="00455811" w:rsidRPr="007F3E67" w:rsidTr="00EB0980">
        <w:tc>
          <w:tcPr>
            <w:tcW w:w="351" w:type="pct"/>
          </w:tcPr>
          <w:p w:rsidR="00455811" w:rsidRPr="007F3E67" w:rsidRDefault="00455811" w:rsidP="007F3E67">
            <w:pPr>
              <w:pStyle w:val="Paragrafoelenco"/>
              <w:numPr>
                <w:ilvl w:val="0"/>
                <w:numId w:val="19"/>
              </w:numPr>
              <w:ind w:left="360"/>
              <w:jc w:val="left"/>
              <w:rPr>
                <w:b/>
                <w:lang w:val="it-IT"/>
              </w:rPr>
            </w:pPr>
          </w:p>
        </w:tc>
        <w:tc>
          <w:tcPr>
            <w:tcW w:w="1129" w:type="pct"/>
          </w:tcPr>
          <w:p w:rsidR="00455811" w:rsidRPr="007F3E67" w:rsidRDefault="00420FDB" w:rsidP="007F3E67">
            <w:pPr>
              <w:jc w:val="left"/>
            </w:pPr>
            <w:r w:rsidRPr="007F3E67">
              <w:t>Anna </w:t>
            </w:r>
            <w:r w:rsidR="00455811" w:rsidRPr="007F3E67">
              <w:t>Katharina ZEUNER</w:t>
            </w:r>
          </w:p>
        </w:tc>
        <w:tc>
          <w:tcPr>
            <w:tcW w:w="811" w:type="pct"/>
          </w:tcPr>
          <w:p w:rsidR="00455811" w:rsidRPr="007F3E67" w:rsidRDefault="00455811" w:rsidP="007F3E67">
            <w:pPr>
              <w:jc w:val="left"/>
            </w:pPr>
            <w:r w:rsidRPr="007F3E67">
              <w:t>04/09/1978</w:t>
            </w:r>
          </w:p>
        </w:tc>
        <w:tc>
          <w:tcPr>
            <w:tcW w:w="837" w:type="pct"/>
          </w:tcPr>
          <w:p w:rsidR="00455811" w:rsidRPr="007F3E67" w:rsidRDefault="00420FDB" w:rsidP="007F3E67">
            <w:pPr>
              <w:jc w:val="left"/>
            </w:pPr>
            <w:r w:rsidRPr="007F3E67">
              <w:t>A</w:t>
            </w:r>
            <w:r w:rsidR="00455811" w:rsidRPr="007F3E67">
              <w:t>llemande</w:t>
            </w:r>
          </w:p>
        </w:tc>
        <w:tc>
          <w:tcPr>
            <w:tcW w:w="877" w:type="pct"/>
          </w:tcPr>
          <w:p w:rsidR="00455811" w:rsidRPr="007F3E67" w:rsidRDefault="00455811" w:rsidP="007F3E67">
            <w:pPr>
              <w:jc w:val="left"/>
            </w:pPr>
            <w:r w:rsidRPr="007F3E67">
              <w:t>Berlin</w:t>
            </w:r>
          </w:p>
        </w:tc>
        <w:tc>
          <w:tcPr>
            <w:tcW w:w="995" w:type="pct"/>
          </w:tcPr>
          <w:p w:rsidR="00420FDB" w:rsidRPr="007F3E67" w:rsidRDefault="00420FDB" w:rsidP="007F3E67">
            <w:pPr>
              <w:rPr>
                <w:bCs/>
                <w:sz w:val="22"/>
                <w:lang w:val="it-IT"/>
              </w:rPr>
            </w:pPr>
            <w:r w:rsidRPr="007F3E67">
              <w:rPr>
                <w:bCs/>
                <w:sz w:val="22"/>
                <w:lang w:val="it-IT"/>
              </w:rPr>
              <w:t>N. Paoletti</w:t>
            </w:r>
          </w:p>
          <w:p w:rsidR="00420FDB" w:rsidRPr="007F3E67" w:rsidRDefault="00420FDB" w:rsidP="007F3E67">
            <w:pPr>
              <w:rPr>
                <w:bCs/>
                <w:sz w:val="22"/>
                <w:lang w:val="it-IT"/>
              </w:rPr>
            </w:pPr>
            <w:r w:rsidRPr="007F3E67">
              <w:rPr>
                <w:bCs/>
                <w:sz w:val="22"/>
                <w:lang w:val="it-IT"/>
              </w:rPr>
              <w:t>A. Mari</w:t>
            </w:r>
          </w:p>
          <w:p w:rsidR="00455811" w:rsidRPr="007F3E67" w:rsidRDefault="00420FDB" w:rsidP="007F3E67">
            <w:pPr>
              <w:jc w:val="left"/>
              <w:rPr>
                <w:lang w:val="it-IT"/>
              </w:rPr>
            </w:pPr>
            <w:r w:rsidRPr="007F3E67">
              <w:rPr>
                <w:bCs/>
                <w:sz w:val="22"/>
                <w:lang w:val="it-IT"/>
              </w:rPr>
              <w:t>D. Rossi</w:t>
            </w:r>
          </w:p>
        </w:tc>
      </w:tr>
    </w:tbl>
    <w:p w:rsidR="004162C3" w:rsidRPr="007F3E67" w:rsidRDefault="004162C3" w:rsidP="007F3E67">
      <w:pPr>
        <w:rPr>
          <w:szCs w:val="24"/>
          <w:lang w:val="it-IT"/>
        </w:rPr>
      </w:pPr>
    </w:p>
    <w:p w:rsidR="004162C3" w:rsidRPr="007F3E67" w:rsidRDefault="004162C3" w:rsidP="007F3E67">
      <w:pPr>
        <w:rPr>
          <w:szCs w:val="24"/>
          <w:lang w:val="it-IT"/>
        </w:rPr>
      </w:pPr>
    </w:p>
    <w:p w:rsidR="00420FDB" w:rsidRPr="007F3E67" w:rsidRDefault="001B0EFD" w:rsidP="007F3E67">
      <w:pPr>
        <w:pStyle w:val="ECHRPara"/>
        <w:jc w:val="center"/>
      </w:pPr>
      <w:r w:rsidRPr="007F3E67">
        <w:t>Requête n</w:t>
      </w:r>
      <w:r w:rsidRPr="007F3E67">
        <w:rPr>
          <w:vertAlign w:val="superscript"/>
        </w:rPr>
        <w:t>o</w:t>
      </w:r>
      <w:r w:rsidRPr="007F3E67">
        <w:t xml:space="preserve"> 67599/10 </w:t>
      </w:r>
      <w:r w:rsidR="00842CBF" w:rsidRPr="007F3E67">
        <w:t>(</w:t>
      </w:r>
      <w:r w:rsidR="00842CBF" w:rsidRPr="007F3E67">
        <w:rPr>
          <w:lang w:val="fr-FR"/>
        </w:rPr>
        <w:t>introduite</w:t>
      </w:r>
      <w:r w:rsidR="00842CBF" w:rsidRPr="007F3E67">
        <w:t xml:space="preserve"> le 3/09/2010)</w:t>
      </w:r>
    </w:p>
    <w:p w:rsidR="00842CBF" w:rsidRPr="007F3E67" w:rsidRDefault="00842CBF" w:rsidP="007F3E67">
      <w:pPr>
        <w:jc w:val="center"/>
      </w:pPr>
    </w:p>
    <w:tbl>
      <w:tblPr>
        <w:tblStyle w:val="ECHRListTable"/>
        <w:tblW w:w="5024" w:type="pct"/>
        <w:tblLook w:val="05E0" w:firstRow="1" w:lastRow="1" w:firstColumn="1" w:lastColumn="1" w:noHBand="0" w:noVBand="1"/>
      </w:tblPr>
      <w:tblGrid>
        <w:gridCol w:w="530"/>
        <w:gridCol w:w="1963"/>
        <w:gridCol w:w="1310"/>
        <w:gridCol w:w="1350"/>
        <w:gridCol w:w="1283"/>
        <w:gridCol w:w="1590"/>
      </w:tblGrid>
      <w:tr w:rsidR="00420FDB" w:rsidRPr="007F3E67" w:rsidTr="00420FDB">
        <w:trPr>
          <w:cnfStyle w:val="100000000000" w:firstRow="1" w:lastRow="0" w:firstColumn="0" w:lastColumn="0" w:oddVBand="0" w:evenVBand="0" w:oddHBand="0" w:evenHBand="0" w:firstRowFirstColumn="0" w:firstRowLastColumn="0" w:lastRowFirstColumn="0" w:lastRowLastColumn="0"/>
        </w:trPr>
        <w:tc>
          <w:tcPr>
            <w:tcW w:w="359" w:type="pct"/>
          </w:tcPr>
          <w:p w:rsidR="00420FDB" w:rsidRPr="007F3E67" w:rsidRDefault="00420FDB" w:rsidP="007F3E67">
            <w:pPr>
              <w:jc w:val="left"/>
            </w:pPr>
            <w:r w:rsidRPr="007F3E67">
              <w:t>N</w:t>
            </w:r>
            <w:r w:rsidR="00301040" w:rsidRPr="007F3E67">
              <w:rPr>
                <w:vertAlign w:val="superscript"/>
              </w:rPr>
              <w:t>o</w:t>
            </w:r>
            <w:r w:rsidRPr="007F3E67">
              <w:t>.</w:t>
            </w:r>
          </w:p>
        </w:tc>
        <w:tc>
          <w:tcPr>
            <w:tcW w:w="1161" w:type="pct"/>
          </w:tcPr>
          <w:p w:rsidR="00420FDB" w:rsidRPr="007F3E67" w:rsidRDefault="00420FDB" w:rsidP="007F3E67">
            <w:pPr>
              <w:jc w:val="left"/>
            </w:pPr>
            <w:r w:rsidRPr="007F3E67">
              <w:t>Prénom NOM</w:t>
            </w:r>
          </w:p>
        </w:tc>
        <w:tc>
          <w:tcPr>
            <w:tcW w:w="780" w:type="pct"/>
          </w:tcPr>
          <w:p w:rsidR="00420FDB" w:rsidRPr="007F3E67" w:rsidRDefault="00420FDB" w:rsidP="007F3E67">
            <w:pPr>
              <w:jc w:val="left"/>
            </w:pPr>
            <w:r w:rsidRPr="007F3E67">
              <w:t>Date de naissance</w:t>
            </w:r>
          </w:p>
        </w:tc>
        <w:tc>
          <w:tcPr>
            <w:tcW w:w="993" w:type="pct"/>
          </w:tcPr>
          <w:p w:rsidR="00420FDB" w:rsidRPr="007F3E67" w:rsidRDefault="00420FDB" w:rsidP="007F3E67">
            <w:pPr>
              <w:jc w:val="left"/>
            </w:pPr>
            <w:r w:rsidRPr="007F3E67">
              <w:rPr>
                <w:lang w:val="fr-FR"/>
              </w:rPr>
              <w:t>Nationalité</w:t>
            </w:r>
          </w:p>
        </w:tc>
        <w:tc>
          <w:tcPr>
            <w:tcW w:w="764" w:type="pct"/>
          </w:tcPr>
          <w:p w:rsidR="00420FDB" w:rsidRPr="007F3E67" w:rsidRDefault="00420FDB" w:rsidP="007F3E67">
            <w:pPr>
              <w:jc w:val="left"/>
            </w:pPr>
            <w:r w:rsidRPr="007F3E67">
              <w:t xml:space="preserve">Lieu de </w:t>
            </w:r>
            <w:r w:rsidRPr="007F3E67">
              <w:rPr>
                <w:lang w:val="fr-FR"/>
              </w:rPr>
              <w:t>résidence</w:t>
            </w:r>
          </w:p>
        </w:tc>
        <w:tc>
          <w:tcPr>
            <w:tcW w:w="943" w:type="pct"/>
          </w:tcPr>
          <w:p w:rsidR="00420FDB" w:rsidRPr="007F3E67" w:rsidRDefault="00420FDB" w:rsidP="007F3E67">
            <w:pPr>
              <w:jc w:val="left"/>
            </w:pPr>
            <w:r w:rsidRPr="007F3E67">
              <w:rPr>
                <w:lang w:val="fr-FR"/>
              </w:rPr>
              <w:t>Représentant</w:t>
            </w:r>
          </w:p>
        </w:tc>
      </w:tr>
      <w:tr w:rsidR="00420FDB" w:rsidRPr="007F3E67" w:rsidTr="00420FDB">
        <w:tc>
          <w:tcPr>
            <w:tcW w:w="359" w:type="pct"/>
          </w:tcPr>
          <w:p w:rsidR="00420FDB" w:rsidRPr="007F3E67" w:rsidRDefault="00420FDB" w:rsidP="007F3E67">
            <w:pPr>
              <w:pStyle w:val="Paragrafoelenco"/>
              <w:numPr>
                <w:ilvl w:val="0"/>
                <w:numId w:val="20"/>
              </w:numPr>
              <w:jc w:val="left"/>
              <w:rPr>
                <w:b/>
              </w:rPr>
            </w:pPr>
          </w:p>
        </w:tc>
        <w:tc>
          <w:tcPr>
            <w:tcW w:w="1161" w:type="pct"/>
          </w:tcPr>
          <w:p w:rsidR="00420FDB" w:rsidRPr="007F3E67" w:rsidRDefault="00420FDB" w:rsidP="007F3E67">
            <w:pPr>
              <w:jc w:val="left"/>
            </w:pPr>
            <w:r w:rsidRPr="007F3E67">
              <w:t>Anna Julia KUTSCHKAU</w:t>
            </w:r>
          </w:p>
        </w:tc>
        <w:tc>
          <w:tcPr>
            <w:tcW w:w="780" w:type="pct"/>
          </w:tcPr>
          <w:p w:rsidR="00420FDB" w:rsidRPr="007F3E67" w:rsidRDefault="00420FDB" w:rsidP="007F3E67">
            <w:pPr>
              <w:jc w:val="left"/>
            </w:pPr>
            <w:r w:rsidRPr="007F3E67">
              <w:t>23/06/1980</w:t>
            </w:r>
          </w:p>
        </w:tc>
        <w:tc>
          <w:tcPr>
            <w:tcW w:w="993" w:type="pct"/>
          </w:tcPr>
          <w:p w:rsidR="00420FDB" w:rsidRPr="007F3E67" w:rsidRDefault="00420FDB" w:rsidP="007F3E67">
            <w:pPr>
              <w:jc w:val="left"/>
            </w:pPr>
            <w:r w:rsidRPr="007F3E67">
              <w:t>Allemande</w:t>
            </w:r>
          </w:p>
        </w:tc>
        <w:tc>
          <w:tcPr>
            <w:tcW w:w="764" w:type="pct"/>
          </w:tcPr>
          <w:p w:rsidR="00420FDB" w:rsidRPr="007F3E67" w:rsidRDefault="00420FDB" w:rsidP="007F3E67">
            <w:pPr>
              <w:jc w:val="left"/>
            </w:pPr>
            <w:r w:rsidRPr="007F3E67">
              <w:t>Berlin</w:t>
            </w:r>
          </w:p>
        </w:tc>
        <w:tc>
          <w:tcPr>
            <w:tcW w:w="943" w:type="pct"/>
          </w:tcPr>
          <w:p w:rsidR="00420FDB" w:rsidRPr="007F3E67" w:rsidRDefault="00420FDB" w:rsidP="007F3E67">
            <w:pPr>
              <w:rPr>
                <w:sz w:val="22"/>
                <w:lang w:val="it-IT"/>
              </w:rPr>
            </w:pPr>
            <w:r w:rsidRPr="007F3E67">
              <w:rPr>
                <w:sz w:val="22"/>
                <w:lang w:val="it-IT"/>
              </w:rPr>
              <w:t>V. Onida</w:t>
            </w:r>
          </w:p>
          <w:p w:rsidR="00420FDB" w:rsidRPr="007F3E67" w:rsidRDefault="00420FDB" w:rsidP="007F3E67">
            <w:pPr>
              <w:rPr>
                <w:sz w:val="22"/>
                <w:lang w:val="it-IT"/>
              </w:rPr>
            </w:pPr>
            <w:r w:rsidRPr="007F3E67">
              <w:rPr>
                <w:sz w:val="22"/>
                <w:lang w:val="it-IT"/>
              </w:rPr>
              <w:t>B. Randazzo</w:t>
            </w:r>
          </w:p>
          <w:p w:rsidR="00420FDB" w:rsidRPr="007F3E67" w:rsidRDefault="00420FDB" w:rsidP="007F3E67">
            <w:pPr>
              <w:jc w:val="left"/>
              <w:rPr>
                <w:lang w:val="it-IT"/>
              </w:rPr>
            </w:pPr>
            <w:r w:rsidRPr="007F3E67">
              <w:rPr>
                <w:sz w:val="22"/>
                <w:lang w:val="it-IT"/>
              </w:rPr>
              <w:t>R. Passeggi</w:t>
            </w:r>
          </w:p>
        </w:tc>
      </w:tr>
      <w:tr w:rsidR="00420FDB" w:rsidRPr="007F3E67" w:rsidTr="00420FDB">
        <w:tc>
          <w:tcPr>
            <w:tcW w:w="359" w:type="pct"/>
          </w:tcPr>
          <w:p w:rsidR="00420FDB" w:rsidRPr="007F3E67" w:rsidRDefault="00420FDB" w:rsidP="007F3E67">
            <w:pPr>
              <w:pStyle w:val="Paragrafoelenco"/>
              <w:numPr>
                <w:ilvl w:val="0"/>
                <w:numId w:val="20"/>
              </w:numPr>
              <w:jc w:val="left"/>
              <w:rPr>
                <w:b/>
                <w:lang w:val="it-IT"/>
              </w:rPr>
            </w:pPr>
          </w:p>
        </w:tc>
        <w:tc>
          <w:tcPr>
            <w:tcW w:w="1161" w:type="pct"/>
          </w:tcPr>
          <w:p w:rsidR="00420FDB" w:rsidRPr="007F3E67" w:rsidRDefault="00420FDB" w:rsidP="007F3E67">
            <w:pPr>
              <w:jc w:val="left"/>
            </w:pPr>
            <w:r w:rsidRPr="007F3E67">
              <w:t>Ruiz Aitor BALBAS</w:t>
            </w:r>
          </w:p>
        </w:tc>
        <w:tc>
          <w:tcPr>
            <w:tcW w:w="780" w:type="pct"/>
          </w:tcPr>
          <w:p w:rsidR="00420FDB" w:rsidRPr="007F3E67" w:rsidRDefault="00420FDB" w:rsidP="007F3E67">
            <w:pPr>
              <w:jc w:val="left"/>
            </w:pPr>
            <w:r w:rsidRPr="007F3E67">
              <w:t>09/10/1970</w:t>
            </w:r>
          </w:p>
        </w:tc>
        <w:tc>
          <w:tcPr>
            <w:tcW w:w="993" w:type="pct"/>
          </w:tcPr>
          <w:p w:rsidR="00420FDB" w:rsidRPr="007F3E67" w:rsidRDefault="00420FDB" w:rsidP="007F3E67">
            <w:pPr>
              <w:jc w:val="left"/>
            </w:pPr>
            <w:r w:rsidRPr="007F3E67">
              <w:t>Espagnole</w:t>
            </w:r>
          </w:p>
        </w:tc>
        <w:tc>
          <w:tcPr>
            <w:tcW w:w="764" w:type="pct"/>
          </w:tcPr>
          <w:p w:rsidR="00420FDB" w:rsidRPr="007F3E67" w:rsidRDefault="00420FDB" w:rsidP="007F3E67">
            <w:pPr>
              <w:jc w:val="left"/>
            </w:pPr>
            <w:r w:rsidRPr="007F3E67">
              <w:t>Pampelune</w:t>
            </w:r>
          </w:p>
        </w:tc>
        <w:tc>
          <w:tcPr>
            <w:tcW w:w="943" w:type="pct"/>
          </w:tcPr>
          <w:p w:rsidR="00420FDB" w:rsidRPr="007F3E67" w:rsidRDefault="00420FDB" w:rsidP="007F3E67">
            <w:pPr>
              <w:rPr>
                <w:sz w:val="22"/>
                <w:lang w:val="it-IT"/>
              </w:rPr>
            </w:pPr>
            <w:r w:rsidRPr="007F3E67">
              <w:rPr>
                <w:sz w:val="22"/>
                <w:lang w:val="it-IT"/>
              </w:rPr>
              <w:t>V. Onida</w:t>
            </w:r>
          </w:p>
          <w:p w:rsidR="00420FDB" w:rsidRPr="007F3E67" w:rsidRDefault="00420FDB" w:rsidP="007F3E67">
            <w:pPr>
              <w:rPr>
                <w:sz w:val="22"/>
                <w:lang w:val="it-IT"/>
              </w:rPr>
            </w:pPr>
            <w:r w:rsidRPr="007F3E67">
              <w:rPr>
                <w:sz w:val="22"/>
                <w:lang w:val="it-IT"/>
              </w:rPr>
              <w:t>B. Randazzo</w:t>
            </w:r>
          </w:p>
          <w:p w:rsidR="00420FDB" w:rsidRPr="007F3E67" w:rsidRDefault="00420FDB" w:rsidP="007F3E67">
            <w:pPr>
              <w:jc w:val="left"/>
              <w:rPr>
                <w:lang w:val="it-IT"/>
              </w:rPr>
            </w:pPr>
            <w:r w:rsidRPr="007F3E67">
              <w:rPr>
                <w:sz w:val="22"/>
                <w:lang w:val="it-IT"/>
              </w:rPr>
              <w:t>E. Tambuscio</w:t>
            </w:r>
          </w:p>
        </w:tc>
      </w:tr>
      <w:tr w:rsidR="00420FDB" w:rsidRPr="007F3E67" w:rsidTr="00420FDB">
        <w:tc>
          <w:tcPr>
            <w:tcW w:w="359" w:type="pct"/>
          </w:tcPr>
          <w:p w:rsidR="00420FDB" w:rsidRPr="007F3E67" w:rsidRDefault="00420FDB" w:rsidP="007F3E67">
            <w:pPr>
              <w:pStyle w:val="Paragrafoelenco"/>
              <w:numPr>
                <w:ilvl w:val="0"/>
                <w:numId w:val="20"/>
              </w:numPr>
              <w:jc w:val="left"/>
              <w:rPr>
                <w:b/>
                <w:lang w:val="it-IT"/>
              </w:rPr>
            </w:pPr>
          </w:p>
        </w:tc>
        <w:tc>
          <w:tcPr>
            <w:tcW w:w="1161" w:type="pct"/>
          </w:tcPr>
          <w:p w:rsidR="00420FDB" w:rsidRPr="007F3E67" w:rsidRDefault="00420FDB" w:rsidP="007F3E67">
            <w:pPr>
              <w:jc w:val="left"/>
            </w:pPr>
            <w:r w:rsidRPr="007F3E67">
              <w:t>Valerio BERTACCHINI</w:t>
            </w:r>
          </w:p>
        </w:tc>
        <w:tc>
          <w:tcPr>
            <w:tcW w:w="780" w:type="pct"/>
          </w:tcPr>
          <w:p w:rsidR="00420FDB" w:rsidRPr="007F3E67" w:rsidRDefault="00420FDB" w:rsidP="007F3E67">
            <w:pPr>
              <w:jc w:val="left"/>
            </w:pPr>
            <w:r w:rsidRPr="007F3E67">
              <w:t>06/05/1976</w:t>
            </w:r>
          </w:p>
        </w:tc>
        <w:tc>
          <w:tcPr>
            <w:tcW w:w="993" w:type="pct"/>
          </w:tcPr>
          <w:p w:rsidR="00420FDB" w:rsidRPr="007F3E67" w:rsidRDefault="00420FDB" w:rsidP="007F3E67">
            <w:pPr>
              <w:jc w:val="left"/>
            </w:pPr>
            <w:r w:rsidRPr="007F3E67">
              <w:t>Italienne</w:t>
            </w:r>
          </w:p>
        </w:tc>
        <w:tc>
          <w:tcPr>
            <w:tcW w:w="764" w:type="pct"/>
          </w:tcPr>
          <w:p w:rsidR="00420FDB" w:rsidRPr="007F3E67" w:rsidRDefault="00420FDB" w:rsidP="007F3E67">
            <w:pPr>
              <w:jc w:val="left"/>
            </w:pPr>
            <w:r w:rsidRPr="007F3E67">
              <w:t>Londres</w:t>
            </w:r>
          </w:p>
        </w:tc>
        <w:tc>
          <w:tcPr>
            <w:tcW w:w="943" w:type="pct"/>
          </w:tcPr>
          <w:p w:rsidR="00F90F26" w:rsidRPr="007F3E67" w:rsidRDefault="00F90F26" w:rsidP="007F3E67">
            <w:pPr>
              <w:rPr>
                <w:sz w:val="22"/>
                <w:lang w:val="it-IT"/>
              </w:rPr>
            </w:pPr>
            <w:r w:rsidRPr="007F3E67">
              <w:rPr>
                <w:sz w:val="22"/>
                <w:lang w:val="it-IT"/>
              </w:rPr>
              <w:t>V. Onida</w:t>
            </w:r>
          </w:p>
          <w:p w:rsidR="00F90F26" w:rsidRPr="007F3E67" w:rsidRDefault="00F90F26" w:rsidP="007F3E67">
            <w:pPr>
              <w:rPr>
                <w:sz w:val="22"/>
                <w:lang w:val="it-IT"/>
              </w:rPr>
            </w:pPr>
            <w:r w:rsidRPr="007F3E67">
              <w:rPr>
                <w:sz w:val="22"/>
                <w:lang w:val="it-IT"/>
              </w:rPr>
              <w:t>B. Randazzo</w:t>
            </w:r>
          </w:p>
          <w:p w:rsidR="00420FDB" w:rsidRPr="007F3E67" w:rsidRDefault="00F90F26" w:rsidP="007F3E67">
            <w:pPr>
              <w:jc w:val="left"/>
              <w:rPr>
                <w:lang w:val="it-IT"/>
              </w:rPr>
            </w:pPr>
            <w:r w:rsidRPr="007F3E67">
              <w:rPr>
                <w:sz w:val="22"/>
                <w:lang w:val="it-IT"/>
              </w:rPr>
              <w:t>C. Novaro</w:t>
            </w:r>
          </w:p>
        </w:tc>
      </w:tr>
      <w:tr w:rsidR="00420FDB" w:rsidRPr="007F3E67" w:rsidTr="00420FDB">
        <w:tc>
          <w:tcPr>
            <w:tcW w:w="359" w:type="pct"/>
          </w:tcPr>
          <w:p w:rsidR="00420FDB" w:rsidRPr="007F3E67" w:rsidRDefault="00420FDB" w:rsidP="007F3E67">
            <w:pPr>
              <w:pStyle w:val="Paragrafoelenco"/>
              <w:numPr>
                <w:ilvl w:val="0"/>
                <w:numId w:val="20"/>
              </w:numPr>
              <w:jc w:val="left"/>
              <w:rPr>
                <w:b/>
                <w:lang w:val="it-IT"/>
              </w:rPr>
            </w:pPr>
          </w:p>
        </w:tc>
        <w:tc>
          <w:tcPr>
            <w:tcW w:w="1161" w:type="pct"/>
          </w:tcPr>
          <w:p w:rsidR="00420FDB" w:rsidRPr="007F3E67" w:rsidRDefault="00420FDB" w:rsidP="007F3E67">
            <w:pPr>
              <w:jc w:val="left"/>
            </w:pPr>
            <w:r w:rsidRPr="007F3E67">
              <w:t>Valeria BRUSCHI</w:t>
            </w:r>
          </w:p>
        </w:tc>
        <w:tc>
          <w:tcPr>
            <w:tcW w:w="780" w:type="pct"/>
          </w:tcPr>
          <w:p w:rsidR="00420FDB" w:rsidRPr="007F3E67" w:rsidRDefault="00420FDB" w:rsidP="007F3E67">
            <w:pPr>
              <w:jc w:val="left"/>
            </w:pPr>
            <w:r w:rsidRPr="007F3E67">
              <w:t>26/02/1975</w:t>
            </w:r>
          </w:p>
        </w:tc>
        <w:tc>
          <w:tcPr>
            <w:tcW w:w="993" w:type="pct"/>
          </w:tcPr>
          <w:p w:rsidR="00420FDB" w:rsidRPr="007F3E67" w:rsidRDefault="00420FDB" w:rsidP="007F3E67">
            <w:pPr>
              <w:jc w:val="left"/>
            </w:pPr>
            <w:r w:rsidRPr="007F3E67">
              <w:t>Italienne</w:t>
            </w:r>
          </w:p>
        </w:tc>
        <w:tc>
          <w:tcPr>
            <w:tcW w:w="764" w:type="pct"/>
          </w:tcPr>
          <w:p w:rsidR="00420FDB" w:rsidRPr="007F3E67" w:rsidRDefault="00420FDB" w:rsidP="007F3E67">
            <w:pPr>
              <w:jc w:val="left"/>
            </w:pPr>
            <w:r w:rsidRPr="007F3E67">
              <w:t>Berlin</w:t>
            </w:r>
          </w:p>
        </w:tc>
        <w:tc>
          <w:tcPr>
            <w:tcW w:w="943" w:type="pct"/>
          </w:tcPr>
          <w:p w:rsidR="00420FDB" w:rsidRPr="007F3E67" w:rsidRDefault="00420FDB" w:rsidP="007F3E67">
            <w:pPr>
              <w:rPr>
                <w:sz w:val="22"/>
                <w:lang w:val="it-IT"/>
              </w:rPr>
            </w:pPr>
            <w:r w:rsidRPr="007F3E67">
              <w:rPr>
                <w:sz w:val="22"/>
                <w:lang w:val="it-IT"/>
              </w:rPr>
              <w:t>V. Onida</w:t>
            </w:r>
          </w:p>
          <w:p w:rsidR="00420FDB" w:rsidRPr="007F3E67" w:rsidRDefault="00420FDB" w:rsidP="007F3E67">
            <w:pPr>
              <w:rPr>
                <w:sz w:val="22"/>
                <w:lang w:val="it-IT"/>
              </w:rPr>
            </w:pPr>
            <w:r w:rsidRPr="007F3E67">
              <w:rPr>
                <w:sz w:val="22"/>
                <w:lang w:val="it-IT"/>
              </w:rPr>
              <w:t>B. Randazzo</w:t>
            </w:r>
          </w:p>
          <w:p w:rsidR="00420FDB" w:rsidRPr="007F3E67" w:rsidRDefault="00420FDB" w:rsidP="007F3E67">
            <w:pPr>
              <w:jc w:val="left"/>
              <w:rPr>
                <w:lang w:val="it-IT"/>
              </w:rPr>
            </w:pPr>
            <w:r w:rsidRPr="007F3E67">
              <w:rPr>
                <w:sz w:val="22"/>
                <w:lang w:val="it-IT"/>
              </w:rPr>
              <w:t>E. Tambuscio</w:t>
            </w:r>
          </w:p>
        </w:tc>
      </w:tr>
      <w:tr w:rsidR="00420FDB" w:rsidRPr="007F3E67" w:rsidTr="00420FDB">
        <w:tc>
          <w:tcPr>
            <w:tcW w:w="359" w:type="pct"/>
          </w:tcPr>
          <w:p w:rsidR="00420FDB" w:rsidRPr="007F3E67" w:rsidRDefault="00420FDB" w:rsidP="007F3E67">
            <w:pPr>
              <w:pStyle w:val="Paragrafoelenco"/>
              <w:numPr>
                <w:ilvl w:val="0"/>
                <w:numId w:val="20"/>
              </w:numPr>
              <w:jc w:val="left"/>
              <w:rPr>
                <w:b/>
                <w:lang w:val="it-IT"/>
              </w:rPr>
            </w:pPr>
          </w:p>
        </w:tc>
        <w:tc>
          <w:tcPr>
            <w:tcW w:w="1161" w:type="pct"/>
          </w:tcPr>
          <w:p w:rsidR="00420FDB" w:rsidRPr="007F3E67" w:rsidRDefault="00420FDB" w:rsidP="007F3E67">
            <w:pPr>
              <w:jc w:val="left"/>
            </w:pPr>
            <w:r w:rsidRPr="007F3E67">
              <w:t>Sergio CAMANDONA</w:t>
            </w:r>
          </w:p>
        </w:tc>
        <w:tc>
          <w:tcPr>
            <w:tcW w:w="780" w:type="pct"/>
          </w:tcPr>
          <w:p w:rsidR="00420FDB" w:rsidRPr="007F3E67" w:rsidRDefault="00420FDB" w:rsidP="007F3E67">
            <w:pPr>
              <w:jc w:val="left"/>
            </w:pPr>
            <w:r w:rsidRPr="007F3E67">
              <w:t>06/06/1969</w:t>
            </w:r>
          </w:p>
        </w:tc>
        <w:tc>
          <w:tcPr>
            <w:tcW w:w="993" w:type="pct"/>
          </w:tcPr>
          <w:p w:rsidR="00420FDB" w:rsidRPr="007F3E67" w:rsidRDefault="00420FDB" w:rsidP="007F3E67">
            <w:pPr>
              <w:jc w:val="left"/>
            </w:pPr>
            <w:r w:rsidRPr="007F3E67">
              <w:t>Italienne</w:t>
            </w:r>
          </w:p>
        </w:tc>
        <w:tc>
          <w:tcPr>
            <w:tcW w:w="764" w:type="pct"/>
          </w:tcPr>
          <w:p w:rsidR="00420FDB" w:rsidRPr="007F3E67" w:rsidRDefault="00420FDB" w:rsidP="007F3E67">
            <w:pPr>
              <w:jc w:val="left"/>
            </w:pPr>
            <w:r w:rsidRPr="007F3E67">
              <w:t>Turin</w:t>
            </w:r>
          </w:p>
        </w:tc>
        <w:tc>
          <w:tcPr>
            <w:tcW w:w="943" w:type="pct"/>
          </w:tcPr>
          <w:p w:rsidR="00F90F26" w:rsidRPr="007F3E67" w:rsidRDefault="00F90F26" w:rsidP="007F3E67">
            <w:pPr>
              <w:rPr>
                <w:sz w:val="22"/>
                <w:lang w:val="it-IT"/>
              </w:rPr>
            </w:pPr>
            <w:r w:rsidRPr="007F3E67">
              <w:rPr>
                <w:sz w:val="22"/>
                <w:lang w:val="it-IT"/>
              </w:rPr>
              <w:t>V. Onida</w:t>
            </w:r>
          </w:p>
          <w:p w:rsidR="00F90F26" w:rsidRPr="007F3E67" w:rsidRDefault="00F90F26" w:rsidP="007F3E67">
            <w:pPr>
              <w:rPr>
                <w:sz w:val="22"/>
                <w:lang w:val="it-IT"/>
              </w:rPr>
            </w:pPr>
            <w:r w:rsidRPr="007F3E67">
              <w:rPr>
                <w:sz w:val="22"/>
                <w:lang w:val="it-IT"/>
              </w:rPr>
              <w:t>B. Randazzo</w:t>
            </w:r>
          </w:p>
          <w:p w:rsidR="00420FDB" w:rsidRPr="007F3E67" w:rsidRDefault="00032193" w:rsidP="007F3E67">
            <w:pPr>
              <w:jc w:val="left"/>
              <w:rPr>
                <w:lang w:val="it-IT"/>
              </w:rPr>
            </w:pPr>
            <w:r w:rsidRPr="007F3E67">
              <w:rPr>
                <w:sz w:val="22"/>
                <w:lang w:val="it-IT"/>
              </w:rPr>
              <w:t>S</w:t>
            </w:r>
            <w:r w:rsidR="00F90F26" w:rsidRPr="007F3E67">
              <w:rPr>
                <w:sz w:val="22"/>
                <w:lang w:val="it-IT"/>
              </w:rPr>
              <w:t xml:space="preserve">. </w:t>
            </w:r>
            <w:r w:rsidRPr="007F3E67">
              <w:rPr>
                <w:sz w:val="22"/>
                <w:lang w:val="it-IT"/>
              </w:rPr>
              <w:t>Insabato</w:t>
            </w:r>
          </w:p>
        </w:tc>
      </w:tr>
      <w:tr w:rsidR="00420FDB" w:rsidRPr="007F3E67" w:rsidTr="00420FDB">
        <w:tc>
          <w:tcPr>
            <w:tcW w:w="359" w:type="pct"/>
          </w:tcPr>
          <w:p w:rsidR="00420FDB" w:rsidRPr="007F3E67" w:rsidRDefault="00420FDB" w:rsidP="007F3E67">
            <w:pPr>
              <w:pStyle w:val="Paragrafoelenco"/>
              <w:numPr>
                <w:ilvl w:val="0"/>
                <w:numId w:val="20"/>
              </w:numPr>
              <w:jc w:val="left"/>
              <w:rPr>
                <w:b/>
                <w:lang w:val="it-IT"/>
              </w:rPr>
            </w:pPr>
          </w:p>
        </w:tc>
        <w:tc>
          <w:tcPr>
            <w:tcW w:w="1161" w:type="pct"/>
          </w:tcPr>
          <w:p w:rsidR="00420FDB" w:rsidRPr="007F3E67" w:rsidRDefault="00420FDB" w:rsidP="007F3E67">
            <w:pPr>
              <w:jc w:val="left"/>
            </w:pPr>
            <w:r w:rsidRPr="007F3E67">
              <w:t>Simona DIGENTI</w:t>
            </w:r>
          </w:p>
        </w:tc>
        <w:tc>
          <w:tcPr>
            <w:tcW w:w="780" w:type="pct"/>
          </w:tcPr>
          <w:p w:rsidR="00420FDB" w:rsidRPr="007F3E67" w:rsidRDefault="00420FDB" w:rsidP="007F3E67">
            <w:pPr>
              <w:jc w:val="left"/>
            </w:pPr>
            <w:r w:rsidRPr="007F3E67">
              <w:t>03/03/1980</w:t>
            </w:r>
          </w:p>
        </w:tc>
        <w:tc>
          <w:tcPr>
            <w:tcW w:w="993" w:type="pct"/>
          </w:tcPr>
          <w:p w:rsidR="00420FDB" w:rsidRPr="007F3E67" w:rsidRDefault="00420FDB" w:rsidP="007F3E67">
            <w:pPr>
              <w:jc w:val="left"/>
            </w:pPr>
            <w:r w:rsidRPr="007F3E67">
              <w:t>Italienne</w:t>
            </w:r>
            <w:r w:rsidR="000D5EF0" w:rsidRPr="007F3E67">
              <w:t xml:space="preserve"> - Suisse</w:t>
            </w:r>
          </w:p>
        </w:tc>
        <w:tc>
          <w:tcPr>
            <w:tcW w:w="764" w:type="pct"/>
          </w:tcPr>
          <w:p w:rsidR="00420FDB" w:rsidRPr="007F3E67" w:rsidRDefault="00420FDB" w:rsidP="007F3E67">
            <w:pPr>
              <w:jc w:val="left"/>
            </w:pPr>
            <w:r w:rsidRPr="007F3E67">
              <w:t>Rümlang</w:t>
            </w:r>
          </w:p>
        </w:tc>
        <w:tc>
          <w:tcPr>
            <w:tcW w:w="943" w:type="pct"/>
          </w:tcPr>
          <w:p w:rsidR="00420FDB" w:rsidRPr="007F3E67" w:rsidRDefault="00420FDB" w:rsidP="007F3E67">
            <w:pPr>
              <w:rPr>
                <w:sz w:val="22"/>
                <w:lang w:val="it-IT"/>
              </w:rPr>
            </w:pPr>
            <w:r w:rsidRPr="007F3E67">
              <w:rPr>
                <w:sz w:val="22"/>
                <w:lang w:val="it-IT"/>
              </w:rPr>
              <w:t>V. Onida</w:t>
            </w:r>
          </w:p>
          <w:p w:rsidR="00420FDB" w:rsidRPr="007F3E67" w:rsidRDefault="00420FDB" w:rsidP="007F3E67">
            <w:pPr>
              <w:rPr>
                <w:sz w:val="22"/>
                <w:lang w:val="it-IT"/>
              </w:rPr>
            </w:pPr>
            <w:r w:rsidRPr="007F3E67">
              <w:rPr>
                <w:sz w:val="22"/>
                <w:lang w:val="it-IT"/>
              </w:rPr>
              <w:t>B. Randazzo</w:t>
            </w:r>
          </w:p>
          <w:p w:rsidR="00420FDB" w:rsidRPr="007F3E67" w:rsidRDefault="00420FDB" w:rsidP="007F3E67">
            <w:pPr>
              <w:jc w:val="left"/>
              <w:rPr>
                <w:lang w:val="it-IT"/>
              </w:rPr>
            </w:pPr>
            <w:r w:rsidRPr="007F3E67">
              <w:rPr>
                <w:sz w:val="22"/>
                <w:lang w:val="it-IT"/>
              </w:rPr>
              <w:t>E. Tambuscio</w:t>
            </w:r>
          </w:p>
        </w:tc>
      </w:tr>
      <w:tr w:rsidR="00420FDB" w:rsidRPr="007F3E67" w:rsidTr="00420FDB">
        <w:tc>
          <w:tcPr>
            <w:tcW w:w="359" w:type="pct"/>
          </w:tcPr>
          <w:p w:rsidR="00420FDB" w:rsidRPr="007F3E67" w:rsidRDefault="00420FDB" w:rsidP="007F3E67">
            <w:pPr>
              <w:pStyle w:val="Paragrafoelenco"/>
              <w:numPr>
                <w:ilvl w:val="0"/>
                <w:numId w:val="20"/>
              </w:numPr>
              <w:jc w:val="left"/>
              <w:rPr>
                <w:b/>
                <w:lang w:val="it-IT"/>
              </w:rPr>
            </w:pPr>
          </w:p>
        </w:tc>
        <w:tc>
          <w:tcPr>
            <w:tcW w:w="1161" w:type="pct"/>
          </w:tcPr>
          <w:p w:rsidR="00301040" w:rsidRPr="007F3E67" w:rsidRDefault="00420FDB" w:rsidP="007F3E67">
            <w:pPr>
              <w:jc w:val="left"/>
            </w:pPr>
            <w:r w:rsidRPr="007F3E67">
              <w:t>Taline</w:t>
            </w:r>
          </w:p>
          <w:p w:rsidR="00420FDB" w:rsidRPr="007F3E67" w:rsidRDefault="00420FDB" w:rsidP="007F3E67">
            <w:pPr>
              <w:jc w:val="left"/>
            </w:pPr>
            <w:r w:rsidRPr="007F3E67">
              <w:t>ENDER</w:t>
            </w:r>
          </w:p>
        </w:tc>
        <w:tc>
          <w:tcPr>
            <w:tcW w:w="780" w:type="pct"/>
          </w:tcPr>
          <w:p w:rsidR="00420FDB" w:rsidRPr="007F3E67" w:rsidRDefault="00420FDB" w:rsidP="007F3E67">
            <w:pPr>
              <w:jc w:val="left"/>
            </w:pPr>
            <w:r w:rsidRPr="007F3E67">
              <w:t>04/01/1983</w:t>
            </w:r>
          </w:p>
        </w:tc>
        <w:tc>
          <w:tcPr>
            <w:tcW w:w="993" w:type="pct"/>
          </w:tcPr>
          <w:p w:rsidR="00420FDB" w:rsidRPr="007F3E67" w:rsidRDefault="00F90F26" w:rsidP="007F3E67">
            <w:pPr>
              <w:jc w:val="left"/>
            </w:pPr>
            <w:r w:rsidRPr="007F3E67">
              <w:t>S</w:t>
            </w:r>
            <w:r w:rsidR="00420FDB" w:rsidRPr="007F3E67">
              <w:t>uisse</w:t>
            </w:r>
          </w:p>
        </w:tc>
        <w:tc>
          <w:tcPr>
            <w:tcW w:w="764" w:type="pct"/>
          </w:tcPr>
          <w:p w:rsidR="00420FDB" w:rsidRPr="007F3E67" w:rsidRDefault="00032193" w:rsidP="007F3E67">
            <w:pPr>
              <w:jc w:val="left"/>
            </w:pPr>
            <w:r w:rsidRPr="007F3E67">
              <w:t>Genève</w:t>
            </w:r>
          </w:p>
        </w:tc>
        <w:tc>
          <w:tcPr>
            <w:tcW w:w="943" w:type="pct"/>
          </w:tcPr>
          <w:p w:rsidR="00420FDB" w:rsidRPr="007F3E67" w:rsidRDefault="00420FDB" w:rsidP="007F3E67">
            <w:pPr>
              <w:rPr>
                <w:sz w:val="22"/>
                <w:lang w:val="it-IT"/>
              </w:rPr>
            </w:pPr>
            <w:r w:rsidRPr="007F3E67">
              <w:rPr>
                <w:sz w:val="22"/>
                <w:lang w:val="it-IT"/>
              </w:rPr>
              <w:t>V. Onida</w:t>
            </w:r>
          </w:p>
          <w:p w:rsidR="00420FDB" w:rsidRPr="007F3E67" w:rsidRDefault="00420FDB" w:rsidP="007F3E67">
            <w:pPr>
              <w:rPr>
                <w:sz w:val="22"/>
                <w:lang w:val="it-IT"/>
              </w:rPr>
            </w:pPr>
            <w:r w:rsidRPr="007F3E67">
              <w:rPr>
                <w:sz w:val="22"/>
                <w:lang w:val="it-IT"/>
              </w:rPr>
              <w:t>B. Randazzo</w:t>
            </w:r>
          </w:p>
          <w:p w:rsidR="00420FDB" w:rsidRPr="007F3E67" w:rsidRDefault="00420FDB" w:rsidP="007F3E67">
            <w:pPr>
              <w:jc w:val="left"/>
              <w:rPr>
                <w:lang w:val="it-IT"/>
              </w:rPr>
            </w:pPr>
            <w:r w:rsidRPr="007F3E67">
              <w:rPr>
                <w:sz w:val="22"/>
                <w:lang w:val="it-IT"/>
              </w:rPr>
              <w:t>C. Novaro</w:t>
            </w:r>
          </w:p>
        </w:tc>
      </w:tr>
      <w:tr w:rsidR="00420FDB" w:rsidRPr="007F3E67" w:rsidTr="00420FDB">
        <w:tc>
          <w:tcPr>
            <w:tcW w:w="359" w:type="pct"/>
          </w:tcPr>
          <w:p w:rsidR="00420FDB" w:rsidRPr="007F3E67" w:rsidRDefault="00420FDB" w:rsidP="007F3E67">
            <w:pPr>
              <w:pStyle w:val="Paragrafoelenco"/>
              <w:numPr>
                <w:ilvl w:val="0"/>
                <w:numId w:val="20"/>
              </w:numPr>
              <w:jc w:val="left"/>
              <w:rPr>
                <w:b/>
                <w:lang w:val="it-IT"/>
              </w:rPr>
            </w:pPr>
          </w:p>
        </w:tc>
        <w:tc>
          <w:tcPr>
            <w:tcW w:w="1161" w:type="pct"/>
          </w:tcPr>
          <w:p w:rsidR="00420FDB" w:rsidRPr="007F3E67" w:rsidRDefault="00420FDB" w:rsidP="007F3E67">
            <w:pPr>
              <w:jc w:val="left"/>
            </w:pPr>
            <w:r w:rsidRPr="007F3E67">
              <w:t>Amaranta Serena FLAGELLI</w:t>
            </w:r>
          </w:p>
        </w:tc>
        <w:tc>
          <w:tcPr>
            <w:tcW w:w="780" w:type="pct"/>
          </w:tcPr>
          <w:p w:rsidR="00420FDB" w:rsidRPr="007F3E67" w:rsidRDefault="00420FDB" w:rsidP="007F3E67">
            <w:pPr>
              <w:jc w:val="left"/>
            </w:pPr>
            <w:r w:rsidRPr="007F3E67">
              <w:t>14/05/1975</w:t>
            </w:r>
          </w:p>
        </w:tc>
        <w:tc>
          <w:tcPr>
            <w:tcW w:w="993" w:type="pct"/>
          </w:tcPr>
          <w:p w:rsidR="00420FDB" w:rsidRPr="007F3E67" w:rsidRDefault="00420FDB" w:rsidP="007F3E67">
            <w:pPr>
              <w:jc w:val="left"/>
            </w:pPr>
            <w:r w:rsidRPr="007F3E67">
              <w:t>Italienne</w:t>
            </w:r>
          </w:p>
        </w:tc>
        <w:tc>
          <w:tcPr>
            <w:tcW w:w="764" w:type="pct"/>
          </w:tcPr>
          <w:p w:rsidR="00420FDB" w:rsidRPr="007F3E67" w:rsidRDefault="00420FDB" w:rsidP="007F3E67">
            <w:pPr>
              <w:jc w:val="left"/>
            </w:pPr>
            <w:r w:rsidRPr="007F3E67">
              <w:t>Florence</w:t>
            </w:r>
          </w:p>
        </w:tc>
        <w:tc>
          <w:tcPr>
            <w:tcW w:w="943" w:type="pct"/>
          </w:tcPr>
          <w:p w:rsidR="00F90F26" w:rsidRPr="007F3E67" w:rsidRDefault="00F90F26" w:rsidP="007F3E67">
            <w:pPr>
              <w:rPr>
                <w:sz w:val="22"/>
                <w:lang w:val="it-IT"/>
              </w:rPr>
            </w:pPr>
            <w:r w:rsidRPr="007F3E67">
              <w:rPr>
                <w:sz w:val="22"/>
                <w:lang w:val="it-IT"/>
              </w:rPr>
              <w:t>V. Onida</w:t>
            </w:r>
          </w:p>
          <w:p w:rsidR="00F90F26" w:rsidRPr="007F3E67" w:rsidRDefault="00F90F26" w:rsidP="007F3E67">
            <w:pPr>
              <w:rPr>
                <w:sz w:val="22"/>
                <w:lang w:val="it-IT"/>
              </w:rPr>
            </w:pPr>
            <w:r w:rsidRPr="007F3E67">
              <w:rPr>
                <w:sz w:val="22"/>
                <w:lang w:val="it-IT"/>
              </w:rPr>
              <w:t>B. Randazzo</w:t>
            </w:r>
          </w:p>
          <w:p w:rsidR="00420FDB" w:rsidRPr="007F3E67" w:rsidRDefault="00F90F26" w:rsidP="007F3E67">
            <w:pPr>
              <w:jc w:val="left"/>
              <w:rPr>
                <w:lang w:val="it-IT"/>
              </w:rPr>
            </w:pPr>
            <w:r w:rsidRPr="007F3E67">
              <w:rPr>
                <w:sz w:val="22"/>
                <w:lang w:val="it-IT"/>
              </w:rPr>
              <w:t>C. Novaro</w:t>
            </w:r>
          </w:p>
        </w:tc>
      </w:tr>
      <w:tr w:rsidR="00420FDB" w:rsidRPr="007F3E67" w:rsidTr="00420FDB">
        <w:tc>
          <w:tcPr>
            <w:tcW w:w="359" w:type="pct"/>
          </w:tcPr>
          <w:p w:rsidR="00420FDB" w:rsidRPr="007F3E67" w:rsidRDefault="00420FDB" w:rsidP="007F3E67">
            <w:pPr>
              <w:pStyle w:val="Paragrafoelenco"/>
              <w:numPr>
                <w:ilvl w:val="0"/>
                <w:numId w:val="20"/>
              </w:numPr>
              <w:jc w:val="left"/>
              <w:rPr>
                <w:b/>
                <w:lang w:val="it-IT"/>
              </w:rPr>
            </w:pPr>
          </w:p>
        </w:tc>
        <w:tc>
          <w:tcPr>
            <w:tcW w:w="1161" w:type="pct"/>
          </w:tcPr>
          <w:p w:rsidR="00420FDB" w:rsidRPr="007F3E67" w:rsidRDefault="00420FDB" w:rsidP="007F3E67">
            <w:pPr>
              <w:jc w:val="left"/>
            </w:pPr>
            <w:r w:rsidRPr="007F3E67">
              <w:t>Diana FRANCESCHIN</w:t>
            </w:r>
          </w:p>
        </w:tc>
        <w:tc>
          <w:tcPr>
            <w:tcW w:w="780" w:type="pct"/>
          </w:tcPr>
          <w:p w:rsidR="00420FDB" w:rsidRPr="007F3E67" w:rsidRDefault="00420FDB" w:rsidP="007F3E67">
            <w:pPr>
              <w:jc w:val="left"/>
            </w:pPr>
            <w:r w:rsidRPr="007F3E67">
              <w:t>26/06/1982</w:t>
            </w:r>
          </w:p>
        </w:tc>
        <w:tc>
          <w:tcPr>
            <w:tcW w:w="993" w:type="pct"/>
          </w:tcPr>
          <w:p w:rsidR="00420FDB" w:rsidRPr="007F3E67" w:rsidRDefault="00420FDB" w:rsidP="007F3E67">
            <w:pPr>
              <w:jc w:val="left"/>
            </w:pPr>
            <w:r w:rsidRPr="007F3E67">
              <w:t>Italienne</w:t>
            </w:r>
          </w:p>
        </w:tc>
        <w:tc>
          <w:tcPr>
            <w:tcW w:w="764" w:type="pct"/>
          </w:tcPr>
          <w:p w:rsidR="00420FDB" w:rsidRPr="007F3E67" w:rsidRDefault="00420FDB" w:rsidP="007F3E67">
            <w:pPr>
              <w:jc w:val="left"/>
            </w:pPr>
            <w:r w:rsidRPr="007F3E67">
              <w:t>Milan</w:t>
            </w:r>
          </w:p>
        </w:tc>
        <w:tc>
          <w:tcPr>
            <w:tcW w:w="943" w:type="pct"/>
          </w:tcPr>
          <w:p w:rsidR="00F90F26" w:rsidRPr="007F3E67" w:rsidRDefault="00F90F26" w:rsidP="007F3E67">
            <w:pPr>
              <w:rPr>
                <w:sz w:val="22"/>
                <w:lang w:val="it-IT"/>
              </w:rPr>
            </w:pPr>
            <w:r w:rsidRPr="007F3E67">
              <w:rPr>
                <w:sz w:val="22"/>
                <w:lang w:val="it-IT"/>
              </w:rPr>
              <w:t>V. Onida</w:t>
            </w:r>
          </w:p>
          <w:p w:rsidR="00F90F26" w:rsidRPr="007F3E67" w:rsidRDefault="00F90F26" w:rsidP="007F3E67">
            <w:pPr>
              <w:rPr>
                <w:sz w:val="22"/>
                <w:lang w:val="it-IT"/>
              </w:rPr>
            </w:pPr>
            <w:r w:rsidRPr="007F3E67">
              <w:rPr>
                <w:sz w:val="22"/>
                <w:lang w:val="it-IT"/>
              </w:rPr>
              <w:t>B. Randazzo</w:t>
            </w:r>
          </w:p>
          <w:p w:rsidR="00420FDB" w:rsidRPr="007F3E67" w:rsidRDefault="00F90F26" w:rsidP="007F3E67">
            <w:pPr>
              <w:jc w:val="left"/>
              <w:rPr>
                <w:lang w:val="it-IT"/>
              </w:rPr>
            </w:pPr>
            <w:r w:rsidRPr="007F3E67">
              <w:rPr>
                <w:sz w:val="22"/>
                <w:lang w:val="it-IT"/>
              </w:rPr>
              <w:t>C. Novaro</w:t>
            </w:r>
          </w:p>
        </w:tc>
      </w:tr>
      <w:tr w:rsidR="00420FDB" w:rsidRPr="007F3E67" w:rsidTr="00420FDB">
        <w:tc>
          <w:tcPr>
            <w:tcW w:w="359" w:type="pct"/>
          </w:tcPr>
          <w:p w:rsidR="00420FDB" w:rsidRPr="007F3E67" w:rsidRDefault="00420FDB" w:rsidP="007F3E67">
            <w:pPr>
              <w:pStyle w:val="Paragrafoelenco"/>
              <w:numPr>
                <w:ilvl w:val="0"/>
                <w:numId w:val="20"/>
              </w:numPr>
              <w:jc w:val="left"/>
              <w:rPr>
                <w:b/>
                <w:lang w:val="it-IT"/>
              </w:rPr>
            </w:pPr>
          </w:p>
        </w:tc>
        <w:tc>
          <w:tcPr>
            <w:tcW w:w="1161" w:type="pct"/>
          </w:tcPr>
          <w:p w:rsidR="00301040" w:rsidRPr="007F3E67" w:rsidRDefault="00420FDB" w:rsidP="007F3E67">
            <w:pPr>
              <w:jc w:val="left"/>
            </w:pPr>
            <w:r w:rsidRPr="007F3E67">
              <w:t>Andrea</w:t>
            </w:r>
          </w:p>
          <w:p w:rsidR="00420FDB" w:rsidRPr="007F3E67" w:rsidRDefault="00420FDB" w:rsidP="007F3E67">
            <w:pPr>
              <w:jc w:val="left"/>
            </w:pPr>
            <w:r w:rsidRPr="007F3E67">
              <w:t>GRAF</w:t>
            </w:r>
          </w:p>
        </w:tc>
        <w:tc>
          <w:tcPr>
            <w:tcW w:w="780" w:type="pct"/>
          </w:tcPr>
          <w:p w:rsidR="00420FDB" w:rsidRPr="007F3E67" w:rsidRDefault="00420FDB" w:rsidP="007F3E67">
            <w:pPr>
              <w:jc w:val="left"/>
            </w:pPr>
            <w:r w:rsidRPr="007F3E67">
              <w:t>25/06/1969</w:t>
            </w:r>
          </w:p>
        </w:tc>
        <w:tc>
          <w:tcPr>
            <w:tcW w:w="993" w:type="pct"/>
          </w:tcPr>
          <w:p w:rsidR="00420FDB" w:rsidRPr="007F3E67" w:rsidRDefault="00420FDB" w:rsidP="007F3E67">
            <w:pPr>
              <w:jc w:val="left"/>
            </w:pPr>
            <w:r w:rsidRPr="007F3E67">
              <w:t>Suisse</w:t>
            </w:r>
          </w:p>
        </w:tc>
        <w:tc>
          <w:tcPr>
            <w:tcW w:w="764" w:type="pct"/>
          </w:tcPr>
          <w:p w:rsidR="00420FDB" w:rsidRPr="007F3E67" w:rsidRDefault="00420FDB" w:rsidP="007F3E67">
            <w:pPr>
              <w:jc w:val="left"/>
            </w:pPr>
            <w:r w:rsidRPr="007F3E67">
              <w:t>Lugano</w:t>
            </w:r>
          </w:p>
        </w:tc>
        <w:tc>
          <w:tcPr>
            <w:tcW w:w="943" w:type="pct"/>
          </w:tcPr>
          <w:p w:rsidR="00F90F26" w:rsidRPr="007F3E67" w:rsidRDefault="00F90F26" w:rsidP="007F3E67">
            <w:pPr>
              <w:rPr>
                <w:sz w:val="22"/>
                <w:lang w:val="it-IT"/>
              </w:rPr>
            </w:pPr>
            <w:r w:rsidRPr="007F3E67">
              <w:rPr>
                <w:sz w:val="22"/>
                <w:lang w:val="it-IT"/>
              </w:rPr>
              <w:t>V. Onida</w:t>
            </w:r>
          </w:p>
          <w:p w:rsidR="00F90F26" w:rsidRPr="007F3E67" w:rsidRDefault="00F90F26" w:rsidP="007F3E67">
            <w:pPr>
              <w:rPr>
                <w:sz w:val="22"/>
                <w:lang w:val="it-IT"/>
              </w:rPr>
            </w:pPr>
            <w:r w:rsidRPr="007F3E67">
              <w:rPr>
                <w:sz w:val="22"/>
                <w:lang w:val="it-IT"/>
              </w:rPr>
              <w:t>B. Randazzo</w:t>
            </w:r>
          </w:p>
          <w:p w:rsidR="00420FDB" w:rsidRPr="007F3E67" w:rsidRDefault="00F90F26" w:rsidP="007F3E67">
            <w:pPr>
              <w:jc w:val="left"/>
              <w:rPr>
                <w:lang w:val="it-IT"/>
              </w:rPr>
            </w:pPr>
            <w:r w:rsidRPr="007F3E67">
              <w:rPr>
                <w:sz w:val="22"/>
                <w:lang w:val="it-IT"/>
              </w:rPr>
              <w:t>C. Novaro</w:t>
            </w:r>
          </w:p>
        </w:tc>
      </w:tr>
      <w:tr w:rsidR="00420FDB" w:rsidRPr="007F3E67" w:rsidTr="00420FDB">
        <w:tc>
          <w:tcPr>
            <w:tcW w:w="359" w:type="pct"/>
          </w:tcPr>
          <w:p w:rsidR="00420FDB" w:rsidRPr="007F3E67" w:rsidRDefault="00420FDB" w:rsidP="007F3E67">
            <w:pPr>
              <w:pStyle w:val="Paragrafoelenco"/>
              <w:numPr>
                <w:ilvl w:val="0"/>
                <w:numId w:val="20"/>
              </w:numPr>
              <w:jc w:val="left"/>
              <w:rPr>
                <w:b/>
                <w:lang w:val="it-IT"/>
              </w:rPr>
            </w:pPr>
          </w:p>
        </w:tc>
        <w:tc>
          <w:tcPr>
            <w:tcW w:w="1161" w:type="pct"/>
          </w:tcPr>
          <w:p w:rsidR="00301040" w:rsidRPr="007F3E67" w:rsidRDefault="00420FDB" w:rsidP="007F3E67">
            <w:pPr>
              <w:jc w:val="left"/>
            </w:pPr>
            <w:r w:rsidRPr="007F3E67">
              <w:t>Laura</w:t>
            </w:r>
          </w:p>
          <w:p w:rsidR="00420FDB" w:rsidRPr="007F3E67" w:rsidRDefault="00420FDB" w:rsidP="007F3E67">
            <w:pPr>
              <w:jc w:val="left"/>
            </w:pPr>
            <w:r w:rsidRPr="007F3E67">
              <w:t>JAEGER</w:t>
            </w:r>
          </w:p>
        </w:tc>
        <w:tc>
          <w:tcPr>
            <w:tcW w:w="780" w:type="pct"/>
          </w:tcPr>
          <w:p w:rsidR="00420FDB" w:rsidRPr="007F3E67" w:rsidRDefault="00420FDB" w:rsidP="007F3E67">
            <w:pPr>
              <w:jc w:val="left"/>
            </w:pPr>
            <w:r w:rsidRPr="007F3E67">
              <w:t>15/02/1981</w:t>
            </w:r>
          </w:p>
        </w:tc>
        <w:tc>
          <w:tcPr>
            <w:tcW w:w="993" w:type="pct"/>
          </w:tcPr>
          <w:p w:rsidR="00420FDB" w:rsidRPr="007F3E67" w:rsidRDefault="00420FDB" w:rsidP="007F3E67">
            <w:pPr>
              <w:jc w:val="left"/>
            </w:pPr>
            <w:r w:rsidRPr="007F3E67">
              <w:t>Allemande</w:t>
            </w:r>
          </w:p>
        </w:tc>
        <w:tc>
          <w:tcPr>
            <w:tcW w:w="764" w:type="pct"/>
          </w:tcPr>
          <w:p w:rsidR="00420FDB" w:rsidRPr="007F3E67" w:rsidRDefault="00420FDB" w:rsidP="007F3E67">
            <w:pPr>
              <w:jc w:val="left"/>
            </w:pPr>
            <w:r w:rsidRPr="007F3E67">
              <w:t>Barcelone</w:t>
            </w:r>
          </w:p>
        </w:tc>
        <w:tc>
          <w:tcPr>
            <w:tcW w:w="943" w:type="pct"/>
          </w:tcPr>
          <w:p w:rsidR="00F90F26" w:rsidRPr="007F3E67" w:rsidRDefault="00F90F26" w:rsidP="007F3E67">
            <w:pPr>
              <w:rPr>
                <w:sz w:val="22"/>
                <w:lang w:val="it-IT"/>
              </w:rPr>
            </w:pPr>
            <w:r w:rsidRPr="007F3E67">
              <w:rPr>
                <w:sz w:val="22"/>
                <w:lang w:val="it-IT"/>
              </w:rPr>
              <w:t>V. Onida</w:t>
            </w:r>
          </w:p>
          <w:p w:rsidR="00F90F26" w:rsidRPr="007F3E67" w:rsidRDefault="00F90F26" w:rsidP="007F3E67">
            <w:pPr>
              <w:rPr>
                <w:sz w:val="22"/>
                <w:lang w:val="it-IT"/>
              </w:rPr>
            </w:pPr>
            <w:r w:rsidRPr="007F3E67">
              <w:rPr>
                <w:sz w:val="22"/>
                <w:lang w:val="it-IT"/>
              </w:rPr>
              <w:t>B. Randazzo</w:t>
            </w:r>
          </w:p>
          <w:p w:rsidR="00420FDB" w:rsidRPr="007F3E67" w:rsidRDefault="00F90F26" w:rsidP="007F3E67">
            <w:pPr>
              <w:jc w:val="left"/>
              <w:rPr>
                <w:lang w:val="it-IT"/>
              </w:rPr>
            </w:pPr>
            <w:r w:rsidRPr="007F3E67">
              <w:rPr>
                <w:sz w:val="22"/>
                <w:lang w:val="it-IT"/>
              </w:rPr>
              <w:t>C. Novaro</w:t>
            </w:r>
          </w:p>
        </w:tc>
      </w:tr>
      <w:tr w:rsidR="00420FDB" w:rsidRPr="007F3E67" w:rsidTr="00420FDB">
        <w:tc>
          <w:tcPr>
            <w:tcW w:w="359" w:type="pct"/>
          </w:tcPr>
          <w:p w:rsidR="00420FDB" w:rsidRPr="007F3E67" w:rsidRDefault="00420FDB" w:rsidP="007F3E67">
            <w:pPr>
              <w:pStyle w:val="Paragrafoelenco"/>
              <w:numPr>
                <w:ilvl w:val="0"/>
                <w:numId w:val="20"/>
              </w:numPr>
              <w:jc w:val="left"/>
              <w:rPr>
                <w:b/>
                <w:lang w:val="it-IT"/>
              </w:rPr>
            </w:pPr>
          </w:p>
        </w:tc>
        <w:tc>
          <w:tcPr>
            <w:tcW w:w="1161" w:type="pct"/>
          </w:tcPr>
          <w:p w:rsidR="00420FDB" w:rsidRPr="007F3E67" w:rsidRDefault="00420FDB" w:rsidP="007F3E67">
            <w:pPr>
              <w:jc w:val="left"/>
            </w:pPr>
            <w:r w:rsidRPr="007F3E67">
              <w:t>David Thomas Arnaud LARROQUELLE</w:t>
            </w:r>
          </w:p>
        </w:tc>
        <w:tc>
          <w:tcPr>
            <w:tcW w:w="780" w:type="pct"/>
          </w:tcPr>
          <w:p w:rsidR="00420FDB" w:rsidRPr="007F3E67" w:rsidRDefault="00420FDB" w:rsidP="007F3E67">
            <w:pPr>
              <w:jc w:val="left"/>
            </w:pPr>
            <w:r w:rsidRPr="007F3E67">
              <w:t>07/03/1973</w:t>
            </w:r>
          </w:p>
        </w:tc>
        <w:tc>
          <w:tcPr>
            <w:tcW w:w="993" w:type="pct"/>
          </w:tcPr>
          <w:p w:rsidR="00420FDB" w:rsidRPr="007F3E67" w:rsidRDefault="00420FDB" w:rsidP="007F3E67">
            <w:pPr>
              <w:jc w:val="left"/>
            </w:pPr>
            <w:r w:rsidRPr="007F3E67">
              <w:t>Française</w:t>
            </w:r>
          </w:p>
        </w:tc>
        <w:tc>
          <w:tcPr>
            <w:tcW w:w="764" w:type="pct"/>
          </w:tcPr>
          <w:p w:rsidR="00420FDB" w:rsidRPr="007F3E67" w:rsidRDefault="00420FDB" w:rsidP="007F3E67">
            <w:pPr>
              <w:jc w:val="left"/>
            </w:pPr>
            <w:r w:rsidRPr="007F3E67">
              <w:t>Milan</w:t>
            </w:r>
          </w:p>
        </w:tc>
        <w:tc>
          <w:tcPr>
            <w:tcW w:w="943" w:type="pct"/>
          </w:tcPr>
          <w:p w:rsidR="00F90F26" w:rsidRPr="007F3E67" w:rsidRDefault="00F90F26" w:rsidP="007F3E67">
            <w:pPr>
              <w:rPr>
                <w:sz w:val="22"/>
                <w:lang w:val="it-IT"/>
              </w:rPr>
            </w:pPr>
            <w:r w:rsidRPr="007F3E67">
              <w:rPr>
                <w:sz w:val="22"/>
                <w:lang w:val="it-IT"/>
              </w:rPr>
              <w:t>V. Onida</w:t>
            </w:r>
          </w:p>
          <w:p w:rsidR="00F90F26" w:rsidRPr="007F3E67" w:rsidRDefault="00F90F26" w:rsidP="007F3E67">
            <w:pPr>
              <w:rPr>
                <w:sz w:val="22"/>
                <w:lang w:val="it-IT"/>
              </w:rPr>
            </w:pPr>
            <w:r w:rsidRPr="007F3E67">
              <w:rPr>
                <w:sz w:val="22"/>
                <w:lang w:val="it-IT"/>
              </w:rPr>
              <w:t>B. Randazzo</w:t>
            </w:r>
          </w:p>
          <w:p w:rsidR="00420FDB" w:rsidRPr="007F3E67" w:rsidRDefault="00F90F26" w:rsidP="007F3E67">
            <w:pPr>
              <w:jc w:val="left"/>
              <w:rPr>
                <w:lang w:val="it-IT"/>
              </w:rPr>
            </w:pPr>
            <w:r w:rsidRPr="007F3E67">
              <w:rPr>
                <w:sz w:val="22"/>
                <w:lang w:val="it-IT"/>
              </w:rPr>
              <w:t>C. Novaro</w:t>
            </w:r>
          </w:p>
        </w:tc>
      </w:tr>
      <w:tr w:rsidR="00420FDB" w:rsidRPr="007F3E67" w:rsidTr="00420FDB">
        <w:tc>
          <w:tcPr>
            <w:tcW w:w="359" w:type="pct"/>
          </w:tcPr>
          <w:p w:rsidR="00420FDB" w:rsidRPr="007F3E67" w:rsidRDefault="00420FDB" w:rsidP="007F3E67">
            <w:pPr>
              <w:pStyle w:val="Paragrafoelenco"/>
              <w:numPr>
                <w:ilvl w:val="0"/>
                <w:numId w:val="20"/>
              </w:numPr>
              <w:jc w:val="left"/>
              <w:rPr>
                <w:b/>
                <w:lang w:val="it-IT"/>
              </w:rPr>
            </w:pPr>
          </w:p>
        </w:tc>
        <w:tc>
          <w:tcPr>
            <w:tcW w:w="1161" w:type="pct"/>
          </w:tcPr>
          <w:p w:rsidR="00420FDB" w:rsidRPr="007F3E67" w:rsidRDefault="00420FDB" w:rsidP="007F3E67">
            <w:pPr>
              <w:jc w:val="left"/>
            </w:pPr>
            <w:r w:rsidRPr="007F3E67">
              <w:t>Luis Garcia LORENTE</w:t>
            </w:r>
          </w:p>
        </w:tc>
        <w:tc>
          <w:tcPr>
            <w:tcW w:w="780" w:type="pct"/>
          </w:tcPr>
          <w:p w:rsidR="00420FDB" w:rsidRPr="007F3E67" w:rsidRDefault="00420FDB" w:rsidP="007F3E67">
            <w:pPr>
              <w:jc w:val="left"/>
            </w:pPr>
            <w:r w:rsidRPr="007F3E67">
              <w:t>25/06/1972</w:t>
            </w:r>
          </w:p>
        </w:tc>
        <w:tc>
          <w:tcPr>
            <w:tcW w:w="993" w:type="pct"/>
          </w:tcPr>
          <w:p w:rsidR="00420FDB" w:rsidRPr="007F3E67" w:rsidRDefault="00420FDB" w:rsidP="007F3E67">
            <w:pPr>
              <w:jc w:val="left"/>
            </w:pPr>
            <w:r w:rsidRPr="007F3E67">
              <w:t>Espagnole</w:t>
            </w:r>
          </w:p>
        </w:tc>
        <w:tc>
          <w:tcPr>
            <w:tcW w:w="764" w:type="pct"/>
          </w:tcPr>
          <w:p w:rsidR="00420FDB" w:rsidRPr="007F3E67" w:rsidRDefault="00420FDB" w:rsidP="007F3E67">
            <w:pPr>
              <w:jc w:val="left"/>
            </w:pPr>
            <w:r w:rsidRPr="007F3E67">
              <w:t>Saragosse</w:t>
            </w:r>
          </w:p>
        </w:tc>
        <w:tc>
          <w:tcPr>
            <w:tcW w:w="943" w:type="pct"/>
          </w:tcPr>
          <w:p w:rsidR="00F90F26" w:rsidRPr="007F3E67" w:rsidRDefault="00F90F26" w:rsidP="007F3E67">
            <w:pPr>
              <w:rPr>
                <w:sz w:val="22"/>
                <w:lang w:val="it-IT"/>
              </w:rPr>
            </w:pPr>
            <w:r w:rsidRPr="007F3E67">
              <w:rPr>
                <w:sz w:val="22"/>
                <w:lang w:val="it-IT"/>
              </w:rPr>
              <w:t>V. Onida</w:t>
            </w:r>
          </w:p>
          <w:p w:rsidR="00F90F26" w:rsidRPr="007F3E67" w:rsidRDefault="00F90F26" w:rsidP="007F3E67">
            <w:pPr>
              <w:rPr>
                <w:sz w:val="22"/>
                <w:lang w:val="it-IT"/>
              </w:rPr>
            </w:pPr>
            <w:r w:rsidRPr="007F3E67">
              <w:rPr>
                <w:sz w:val="22"/>
                <w:lang w:val="it-IT"/>
              </w:rPr>
              <w:t>B. Randazzo</w:t>
            </w:r>
          </w:p>
          <w:p w:rsidR="00420FDB" w:rsidRPr="007F3E67" w:rsidRDefault="00F90F26" w:rsidP="007F3E67">
            <w:pPr>
              <w:jc w:val="left"/>
              <w:rPr>
                <w:lang w:val="it-IT"/>
              </w:rPr>
            </w:pPr>
            <w:r w:rsidRPr="007F3E67">
              <w:rPr>
                <w:sz w:val="22"/>
                <w:lang w:val="it-IT"/>
              </w:rPr>
              <w:t>E. Tambuscio</w:t>
            </w:r>
          </w:p>
        </w:tc>
      </w:tr>
      <w:tr w:rsidR="00420FDB" w:rsidRPr="007F3E67" w:rsidTr="00420FDB">
        <w:tc>
          <w:tcPr>
            <w:tcW w:w="359" w:type="pct"/>
          </w:tcPr>
          <w:p w:rsidR="00420FDB" w:rsidRPr="007F3E67" w:rsidRDefault="00420FDB" w:rsidP="007F3E67">
            <w:pPr>
              <w:pStyle w:val="Paragrafoelenco"/>
              <w:numPr>
                <w:ilvl w:val="0"/>
                <w:numId w:val="20"/>
              </w:numPr>
              <w:jc w:val="left"/>
              <w:rPr>
                <w:b/>
                <w:lang w:val="it-IT"/>
              </w:rPr>
            </w:pPr>
          </w:p>
        </w:tc>
        <w:tc>
          <w:tcPr>
            <w:tcW w:w="1161" w:type="pct"/>
          </w:tcPr>
          <w:p w:rsidR="00420FDB" w:rsidRPr="007F3E67" w:rsidRDefault="00420FDB" w:rsidP="007F3E67">
            <w:pPr>
              <w:jc w:val="left"/>
            </w:pPr>
            <w:r w:rsidRPr="007F3E67">
              <w:t>Francisco Javier MADRAZO</w:t>
            </w:r>
          </w:p>
        </w:tc>
        <w:tc>
          <w:tcPr>
            <w:tcW w:w="780" w:type="pct"/>
          </w:tcPr>
          <w:p w:rsidR="00420FDB" w:rsidRPr="007F3E67" w:rsidRDefault="00420FDB" w:rsidP="007F3E67">
            <w:pPr>
              <w:jc w:val="left"/>
            </w:pPr>
            <w:r w:rsidRPr="007F3E67">
              <w:t>03/12/1963</w:t>
            </w:r>
          </w:p>
        </w:tc>
        <w:tc>
          <w:tcPr>
            <w:tcW w:w="993" w:type="pct"/>
          </w:tcPr>
          <w:p w:rsidR="00420FDB" w:rsidRPr="007F3E67" w:rsidRDefault="00420FDB" w:rsidP="007F3E67">
            <w:pPr>
              <w:jc w:val="left"/>
            </w:pPr>
            <w:r w:rsidRPr="007F3E67">
              <w:t>Espagnole</w:t>
            </w:r>
          </w:p>
        </w:tc>
        <w:tc>
          <w:tcPr>
            <w:tcW w:w="764" w:type="pct"/>
          </w:tcPr>
          <w:p w:rsidR="00420FDB" w:rsidRPr="007F3E67" w:rsidRDefault="00420FDB" w:rsidP="007F3E67">
            <w:pPr>
              <w:jc w:val="left"/>
            </w:pPr>
            <w:r w:rsidRPr="007F3E67">
              <w:t>Sarago</w:t>
            </w:r>
            <w:r w:rsidR="007C608D" w:rsidRPr="007F3E67">
              <w:t>sse</w:t>
            </w:r>
          </w:p>
        </w:tc>
        <w:tc>
          <w:tcPr>
            <w:tcW w:w="943" w:type="pct"/>
          </w:tcPr>
          <w:p w:rsidR="00F90F26" w:rsidRPr="007F3E67" w:rsidRDefault="00F90F26" w:rsidP="007F3E67">
            <w:pPr>
              <w:rPr>
                <w:sz w:val="22"/>
                <w:lang w:val="it-IT"/>
              </w:rPr>
            </w:pPr>
            <w:r w:rsidRPr="007F3E67">
              <w:rPr>
                <w:sz w:val="22"/>
                <w:lang w:val="it-IT"/>
              </w:rPr>
              <w:t>V. Onida</w:t>
            </w:r>
          </w:p>
          <w:p w:rsidR="00F90F26" w:rsidRPr="007F3E67" w:rsidRDefault="00F90F26" w:rsidP="007F3E67">
            <w:pPr>
              <w:rPr>
                <w:sz w:val="22"/>
                <w:lang w:val="it-IT"/>
              </w:rPr>
            </w:pPr>
            <w:r w:rsidRPr="007F3E67">
              <w:rPr>
                <w:sz w:val="22"/>
                <w:lang w:val="it-IT"/>
              </w:rPr>
              <w:t>B. Randazzo</w:t>
            </w:r>
          </w:p>
          <w:p w:rsidR="00420FDB" w:rsidRPr="007F3E67" w:rsidRDefault="00F90F26" w:rsidP="007F3E67">
            <w:pPr>
              <w:jc w:val="left"/>
              <w:rPr>
                <w:lang w:val="it-IT"/>
              </w:rPr>
            </w:pPr>
            <w:r w:rsidRPr="007F3E67">
              <w:rPr>
                <w:sz w:val="22"/>
                <w:lang w:val="it-IT"/>
              </w:rPr>
              <w:t>E. Tambuscio</w:t>
            </w:r>
          </w:p>
        </w:tc>
      </w:tr>
      <w:tr w:rsidR="00420FDB" w:rsidRPr="007F3E67" w:rsidTr="00420FDB">
        <w:tc>
          <w:tcPr>
            <w:tcW w:w="359" w:type="pct"/>
          </w:tcPr>
          <w:p w:rsidR="00420FDB" w:rsidRPr="007F3E67" w:rsidRDefault="00420FDB" w:rsidP="007F3E67">
            <w:pPr>
              <w:pStyle w:val="Paragrafoelenco"/>
              <w:numPr>
                <w:ilvl w:val="0"/>
                <w:numId w:val="20"/>
              </w:numPr>
              <w:jc w:val="left"/>
              <w:rPr>
                <w:b/>
                <w:lang w:val="it-IT"/>
              </w:rPr>
            </w:pPr>
          </w:p>
        </w:tc>
        <w:tc>
          <w:tcPr>
            <w:tcW w:w="1161" w:type="pct"/>
          </w:tcPr>
          <w:p w:rsidR="00301040" w:rsidRPr="007F3E67" w:rsidRDefault="00420FDB" w:rsidP="007F3E67">
            <w:pPr>
              <w:jc w:val="left"/>
            </w:pPr>
            <w:r w:rsidRPr="007F3E67">
              <w:t>Cesar Jean Claude</w:t>
            </w:r>
          </w:p>
          <w:p w:rsidR="00420FDB" w:rsidRPr="007F3E67" w:rsidRDefault="00420FDB" w:rsidP="007F3E67">
            <w:pPr>
              <w:jc w:val="left"/>
            </w:pPr>
            <w:r w:rsidRPr="007F3E67">
              <w:t>NEBOT</w:t>
            </w:r>
          </w:p>
        </w:tc>
        <w:tc>
          <w:tcPr>
            <w:tcW w:w="780" w:type="pct"/>
          </w:tcPr>
          <w:p w:rsidR="00420FDB" w:rsidRPr="007F3E67" w:rsidRDefault="00420FDB" w:rsidP="007F3E67">
            <w:pPr>
              <w:jc w:val="left"/>
            </w:pPr>
            <w:r w:rsidRPr="007F3E67">
              <w:t>27/05/1973</w:t>
            </w:r>
          </w:p>
        </w:tc>
        <w:tc>
          <w:tcPr>
            <w:tcW w:w="993" w:type="pct"/>
          </w:tcPr>
          <w:p w:rsidR="00420FDB" w:rsidRPr="007F3E67" w:rsidRDefault="00420FDB" w:rsidP="007F3E67">
            <w:pPr>
              <w:jc w:val="left"/>
            </w:pPr>
            <w:r w:rsidRPr="007F3E67">
              <w:t>Française</w:t>
            </w:r>
          </w:p>
        </w:tc>
        <w:tc>
          <w:tcPr>
            <w:tcW w:w="764" w:type="pct"/>
          </w:tcPr>
          <w:p w:rsidR="00420FDB" w:rsidRPr="007F3E67" w:rsidRDefault="00420FDB" w:rsidP="007F3E67">
            <w:pPr>
              <w:jc w:val="left"/>
            </w:pPr>
            <w:r w:rsidRPr="007F3E67">
              <w:t>Paris</w:t>
            </w:r>
          </w:p>
        </w:tc>
        <w:tc>
          <w:tcPr>
            <w:tcW w:w="943" w:type="pct"/>
          </w:tcPr>
          <w:p w:rsidR="00F90F26" w:rsidRPr="007F3E67" w:rsidRDefault="00F90F26" w:rsidP="007F3E67">
            <w:pPr>
              <w:rPr>
                <w:sz w:val="22"/>
                <w:lang w:val="it-IT"/>
              </w:rPr>
            </w:pPr>
            <w:r w:rsidRPr="007F3E67">
              <w:rPr>
                <w:sz w:val="22"/>
                <w:lang w:val="it-IT"/>
              </w:rPr>
              <w:t>V. Onida</w:t>
            </w:r>
          </w:p>
          <w:p w:rsidR="00F90F26" w:rsidRPr="007F3E67" w:rsidRDefault="00F90F26" w:rsidP="007F3E67">
            <w:pPr>
              <w:rPr>
                <w:sz w:val="22"/>
                <w:lang w:val="it-IT"/>
              </w:rPr>
            </w:pPr>
            <w:r w:rsidRPr="007F3E67">
              <w:rPr>
                <w:sz w:val="22"/>
                <w:lang w:val="it-IT"/>
              </w:rPr>
              <w:t>B. Randazzo</w:t>
            </w:r>
          </w:p>
          <w:p w:rsidR="00420FDB" w:rsidRPr="007F3E67" w:rsidRDefault="00F90F26" w:rsidP="007F3E67">
            <w:pPr>
              <w:jc w:val="left"/>
              <w:rPr>
                <w:lang w:val="it-IT"/>
              </w:rPr>
            </w:pPr>
            <w:r w:rsidRPr="007F3E67">
              <w:rPr>
                <w:sz w:val="22"/>
                <w:lang w:val="it-IT"/>
              </w:rPr>
              <w:t>L. Fattizzo</w:t>
            </w:r>
          </w:p>
        </w:tc>
      </w:tr>
      <w:tr w:rsidR="00420FDB" w:rsidRPr="007F3E67" w:rsidTr="00420FDB">
        <w:tc>
          <w:tcPr>
            <w:tcW w:w="359" w:type="pct"/>
          </w:tcPr>
          <w:p w:rsidR="00420FDB" w:rsidRPr="007F3E67" w:rsidRDefault="00420FDB" w:rsidP="007F3E67">
            <w:pPr>
              <w:pStyle w:val="Paragrafoelenco"/>
              <w:numPr>
                <w:ilvl w:val="0"/>
                <w:numId w:val="20"/>
              </w:numPr>
              <w:jc w:val="left"/>
              <w:rPr>
                <w:b/>
                <w:lang w:val="it-IT"/>
              </w:rPr>
            </w:pPr>
          </w:p>
        </w:tc>
        <w:tc>
          <w:tcPr>
            <w:tcW w:w="1161" w:type="pct"/>
          </w:tcPr>
          <w:p w:rsidR="00420FDB" w:rsidRPr="007F3E67" w:rsidRDefault="00420FDB" w:rsidP="007F3E67">
            <w:pPr>
              <w:jc w:val="left"/>
            </w:pPr>
            <w:r w:rsidRPr="007F3E67">
              <w:t>Francho Corral NOGUERAS CHAVIER</w:t>
            </w:r>
          </w:p>
        </w:tc>
        <w:tc>
          <w:tcPr>
            <w:tcW w:w="780" w:type="pct"/>
          </w:tcPr>
          <w:p w:rsidR="00420FDB" w:rsidRPr="007F3E67" w:rsidRDefault="00420FDB" w:rsidP="007F3E67">
            <w:pPr>
              <w:jc w:val="left"/>
            </w:pPr>
          </w:p>
        </w:tc>
        <w:tc>
          <w:tcPr>
            <w:tcW w:w="993" w:type="pct"/>
          </w:tcPr>
          <w:p w:rsidR="00420FDB" w:rsidRPr="007F3E67" w:rsidRDefault="00420FDB" w:rsidP="007F3E67">
            <w:pPr>
              <w:jc w:val="left"/>
            </w:pPr>
            <w:r w:rsidRPr="007F3E67">
              <w:t>Espagnole</w:t>
            </w:r>
          </w:p>
        </w:tc>
        <w:tc>
          <w:tcPr>
            <w:tcW w:w="764" w:type="pct"/>
          </w:tcPr>
          <w:p w:rsidR="00420FDB" w:rsidRPr="007F3E67" w:rsidRDefault="00420FDB" w:rsidP="007F3E67">
            <w:pPr>
              <w:jc w:val="left"/>
            </w:pPr>
            <w:r w:rsidRPr="007F3E67">
              <w:t>Saragosse</w:t>
            </w:r>
          </w:p>
        </w:tc>
        <w:tc>
          <w:tcPr>
            <w:tcW w:w="943" w:type="pct"/>
          </w:tcPr>
          <w:p w:rsidR="00F90F26" w:rsidRPr="007F3E67" w:rsidRDefault="00F90F26" w:rsidP="007F3E67">
            <w:pPr>
              <w:rPr>
                <w:sz w:val="22"/>
                <w:lang w:val="it-IT"/>
              </w:rPr>
            </w:pPr>
            <w:r w:rsidRPr="007F3E67">
              <w:rPr>
                <w:sz w:val="22"/>
                <w:lang w:val="it-IT"/>
              </w:rPr>
              <w:t>V. Onida</w:t>
            </w:r>
          </w:p>
          <w:p w:rsidR="00F90F26" w:rsidRPr="007F3E67" w:rsidRDefault="00F90F26" w:rsidP="007F3E67">
            <w:pPr>
              <w:rPr>
                <w:sz w:val="22"/>
                <w:lang w:val="it-IT"/>
              </w:rPr>
            </w:pPr>
            <w:r w:rsidRPr="007F3E67">
              <w:rPr>
                <w:sz w:val="22"/>
                <w:lang w:val="it-IT"/>
              </w:rPr>
              <w:t>B. Randazzo</w:t>
            </w:r>
          </w:p>
          <w:p w:rsidR="00420FDB" w:rsidRPr="007F3E67" w:rsidRDefault="00F90F26" w:rsidP="007F3E67">
            <w:pPr>
              <w:jc w:val="left"/>
              <w:rPr>
                <w:lang w:val="it-IT"/>
              </w:rPr>
            </w:pPr>
            <w:r w:rsidRPr="007F3E67">
              <w:rPr>
                <w:sz w:val="22"/>
                <w:lang w:val="it-IT"/>
              </w:rPr>
              <w:t>E. Tambuscio</w:t>
            </w:r>
          </w:p>
        </w:tc>
      </w:tr>
      <w:tr w:rsidR="00420FDB" w:rsidRPr="007F3E67" w:rsidTr="00420FDB">
        <w:tc>
          <w:tcPr>
            <w:tcW w:w="359" w:type="pct"/>
          </w:tcPr>
          <w:p w:rsidR="00420FDB" w:rsidRPr="007F3E67" w:rsidRDefault="00420FDB" w:rsidP="007F3E67">
            <w:pPr>
              <w:pStyle w:val="Paragrafoelenco"/>
              <w:numPr>
                <w:ilvl w:val="0"/>
                <w:numId w:val="20"/>
              </w:numPr>
              <w:jc w:val="left"/>
              <w:rPr>
                <w:b/>
                <w:lang w:val="it-IT"/>
              </w:rPr>
            </w:pPr>
          </w:p>
        </w:tc>
        <w:tc>
          <w:tcPr>
            <w:tcW w:w="1161" w:type="pct"/>
          </w:tcPr>
          <w:p w:rsidR="00420FDB" w:rsidRPr="007F3E67" w:rsidRDefault="00420FDB" w:rsidP="007F3E67">
            <w:pPr>
              <w:jc w:val="left"/>
            </w:pPr>
            <w:r w:rsidRPr="007F3E67">
              <w:t>Giorgia PARTESOTTI</w:t>
            </w:r>
          </w:p>
        </w:tc>
        <w:tc>
          <w:tcPr>
            <w:tcW w:w="780" w:type="pct"/>
          </w:tcPr>
          <w:p w:rsidR="00420FDB" w:rsidRPr="007F3E67" w:rsidRDefault="00420FDB" w:rsidP="007F3E67">
            <w:pPr>
              <w:jc w:val="left"/>
            </w:pPr>
            <w:r w:rsidRPr="007F3E67">
              <w:t>30/10/1980</w:t>
            </w:r>
          </w:p>
        </w:tc>
        <w:tc>
          <w:tcPr>
            <w:tcW w:w="993" w:type="pct"/>
          </w:tcPr>
          <w:p w:rsidR="00420FDB" w:rsidRPr="007F3E67" w:rsidRDefault="00420FDB" w:rsidP="007F3E67">
            <w:pPr>
              <w:jc w:val="left"/>
            </w:pPr>
            <w:r w:rsidRPr="007F3E67">
              <w:t>Italienne</w:t>
            </w:r>
          </w:p>
        </w:tc>
        <w:tc>
          <w:tcPr>
            <w:tcW w:w="764" w:type="pct"/>
          </w:tcPr>
          <w:p w:rsidR="00420FDB" w:rsidRPr="007F3E67" w:rsidRDefault="00420FDB" w:rsidP="007F3E67">
            <w:pPr>
              <w:jc w:val="left"/>
            </w:pPr>
            <w:r w:rsidRPr="007F3E67">
              <w:t>Padoue</w:t>
            </w:r>
          </w:p>
        </w:tc>
        <w:tc>
          <w:tcPr>
            <w:tcW w:w="943" w:type="pct"/>
          </w:tcPr>
          <w:p w:rsidR="00F90F26" w:rsidRPr="007F3E67" w:rsidRDefault="00F90F26" w:rsidP="007F3E67">
            <w:pPr>
              <w:rPr>
                <w:sz w:val="22"/>
                <w:lang w:val="it-IT"/>
              </w:rPr>
            </w:pPr>
            <w:r w:rsidRPr="007F3E67">
              <w:rPr>
                <w:sz w:val="22"/>
                <w:lang w:val="it-IT"/>
              </w:rPr>
              <w:t>V. Onida</w:t>
            </w:r>
          </w:p>
          <w:p w:rsidR="00F90F26" w:rsidRPr="007F3E67" w:rsidRDefault="00F90F26" w:rsidP="007F3E67">
            <w:pPr>
              <w:rPr>
                <w:sz w:val="22"/>
                <w:lang w:val="it-IT"/>
              </w:rPr>
            </w:pPr>
            <w:r w:rsidRPr="007F3E67">
              <w:rPr>
                <w:sz w:val="22"/>
                <w:lang w:val="it-IT"/>
              </w:rPr>
              <w:t>B. Randazzo</w:t>
            </w:r>
          </w:p>
          <w:p w:rsidR="00420FDB" w:rsidRPr="007F3E67" w:rsidRDefault="00F90F26" w:rsidP="007F3E67">
            <w:pPr>
              <w:jc w:val="left"/>
              <w:rPr>
                <w:lang w:val="it-IT"/>
              </w:rPr>
            </w:pPr>
            <w:r w:rsidRPr="007F3E67">
              <w:rPr>
                <w:sz w:val="22"/>
                <w:lang w:val="it-IT"/>
              </w:rPr>
              <w:t>L. Partesotti</w:t>
            </w:r>
          </w:p>
        </w:tc>
      </w:tr>
      <w:tr w:rsidR="00420FDB" w:rsidRPr="007F3E67" w:rsidTr="00420FDB">
        <w:tc>
          <w:tcPr>
            <w:tcW w:w="359" w:type="pct"/>
          </w:tcPr>
          <w:p w:rsidR="00420FDB" w:rsidRPr="007F3E67" w:rsidRDefault="00420FDB" w:rsidP="007F3E67">
            <w:pPr>
              <w:pStyle w:val="Paragrafoelenco"/>
              <w:numPr>
                <w:ilvl w:val="0"/>
                <w:numId w:val="20"/>
              </w:numPr>
              <w:jc w:val="left"/>
              <w:rPr>
                <w:b/>
                <w:lang w:val="it-IT"/>
              </w:rPr>
            </w:pPr>
          </w:p>
        </w:tc>
        <w:tc>
          <w:tcPr>
            <w:tcW w:w="1161" w:type="pct"/>
          </w:tcPr>
          <w:p w:rsidR="00420FDB" w:rsidRPr="007F3E67" w:rsidRDefault="00420FDB" w:rsidP="007F3E67">
            <w:pPr>
              <w:jc w:val="left"/>
            </w:pPr>
            <w:r w:rsidRPr="007F3E67">
              <w:t>Ester PERCIVATI</w:t>
            </w:r>
          </w:p>
        </w:tc>
        <w:tc>
          <w:tcPr>
            <w:tcW w:w="780" w:type="pct"/>
          </w:tcPr>
          <w:p w:rsidR="00420FDB" w:rsidRPr="007F3E67" w:rsidRDefault="00420FDB" w:rsidP="007F3E67">
            <w:pPr>
              <w:jc w:val="left"/>
            </w:pPr>
            <w:r w:rsidRPr="007F3E67">
              <w:t>20/12/1980</w:t>
            </w:r>
          </w:p>
        </w:tc>
        <w:tc>
          <w:tcPr>
            <w:tcW w:w="993" w:type="pct"/>
          </w:tcPr>
          <w:p w:rsidR="00420FDB" w:rsidRPr="007F3E67" w:rsidRDefault="00420FDB" w:rsidP="007F3E67">
            <w:pPr>
              <w:jc w:val="left"/>
            </w:pPr>
            <w:r w:rsidRPr="007F3E67">
              <w:t>Italienne</w:t>
            </w:r>
          </w:p>
        </w:tc>
        <w:tc>
          <w:tcPr>
            <w:tcW w:w="764" w:type="pct"/>
          </w:tcPr>
          <w:p w:rsidR="00420FDB" w:rsidRPr="007F3E67" w:rsidRDefault="00420FDB" w:rsidP="007F3E67">
            <w:pPr>
              <w:jc w:val="left"/>
            </w:pPr>
            <w:r w:rsidRPr="007F3E67">
              <w:t>Milan</w:t>
            </w:r>
          </w:p>
        </w:tc>
        <w:tc>
          <w:tcPr>
            <w:tcW w:w="943" w:type="pct"/>
          </w:tcPr>
          <w:p w:rsidR="00F90F26" w:rsidRPr="007F3E67" w:rsidRDefault="00F90F26" w:rsidP="007F3E67">
            <w:pPr>
              <w:rPr>
                <w:sz w:val="22"/>
                <w:lang w:val="it-IT"/>
              </w:rPr>
            </w:pPr>
            <w:r w:rsidRPr="007F3E67">
              <w:rPr>
                <w:sz w:val="22"/>
                <w:lang w:val="it-IT"/>
              </w:rPr>
              <w:t>V. Onida</w:t>
            </w:r>
          </w:p>
          <w:p w:rsidR="00F90F26" w:rsidRPr="007F3E67" w:rsidRDefault="00F90F26" w:rsidP="007F3E67">
            <w:pPr>
              <w:rPr>
                <w:sz w:val="22"/>
                <w:lang w:val="it-IT"/>
              </w:rPr>
            </w:pPr>
            <w:r w:rsidRPr="007F3E67">
              <w:rPr>
                <w:sz w:val="22"/>
                <w:lang w:val="it-IT"/>
              </w:rPr>
              <w:t>B. Randazzo</w:t>
            </w:r>
          </w:p>
          <w:p w:rsidR="00420FDB" w:rsidRPr="007F3E67" w:rsidRDefault="00F90F26" w:rsidP="007F3E67">
            <w:pPr>
              <w:jc w:val="left"/>
              <w:rPr>
                <w:lang w:val="it-IT"/>
              </w:rPr>
            </w:pPr>
            <w:r w:rsidRPr="007F3E67">
              <w:rPr>
                <w:sz w:val="22"/>
                <w:lang w:val="it-IT"/>
              </w:rPr>
              <w:t>C. Novaro</w:t>
            </w:r>
          </w:p>
        </w:tc>
      </w:tr>
      <w:tr w:rsidR="00420FDB" w:rsidRPr="007F3E67" w:rsidTr="00420FDB">
        <w:tc>
          <w:tcPr>
            <w:tcW w:w="359" w:type="pct"/>
          </w:tcPr>
          <w:p w:rsidR="00420FDB" w:rsidRPr="007F3E67" w:rsidRDefault="00420FDB" w:rsidP="007F3E67">
            <w:pPr>
              <w:pStyle w:val="Paragrafoelenco"/>
              <w:numPr>
                <w:ilvl w:val="0"/>
                <w:numId w:val="20"/>
              </w:numPr>
              <w:jc w:val="left"/>
              <w:rPr>
                <w:b/>
                <w:lang w:val="it-IT"/>
              </w:rPr>
            </w:pPr>
          </w:p>
        </w:tc>
        <w:tc>
          <w:tcPr>
            <w:tcW w:w="1161" w:type="pct"/>
          </w:tcPr>
          <w:p w:rsidR="00301040" w:rsidRPr="007F3E67" w:rsidRDefault="00420FDB" w:rsidP="007F3E67">
            <w:pPr>
              <w:jc w:val="left"/>
              <w:rPr>
                <w:lang w:val="it-IT"/>
              </w:rPr>
            </w:pPr>
            <w:r w:rsidRPr="007F3E67">
              <w:rPr>
                <w:lang w:val="it-IT"/>
              </w:rPr>
              <w:t>Moritz Kaspar Kamol</w:t>
            </w:r>
          </w:p>
          <w:p w:rsidR="00420FDB" w:rsidRPr="007F3E67" w:rsidRDefault="00420FDB" w:rsidP="007F3E67">
            <w:pPr>
              <w:jc w:val="left"/>
              <w:rPr>
                <w:lang w:val="it-IT"/>
              </w:rPr>
            </w:pPr>
            <w:r w:rsidRPr="007F3E67">
              <w:rPr>
                <w:lang w:val="it-IT"/>
              </w:rPr>
              <w:t>VON UNGER</w:t>
            </w:r>
          </w:p>
        </w:tc>
        <w:tc>
          <w:tcPr>
            <w:tcW w:w="780" w:type="pct"/>
          </w:tcPr>
          <w:p w:rsidR="00420FDB" w:rsidRPr="007F3E67" w:rsidRDefault="00420FDB" w:rsidP="007F3E67">
            <w:pPr>
              <w:jc w:val="left"/>
            </w:pPr>
            <w:r w:rsidRPr="007F3E67">
              <w:t>09/05/1974</w:t>
            </w:r>
          </w:p>
        </w:tc>
        <w:tc>
          <w:tcPr>
            <w:tcW w:w="993" w:type="pct"/>
          </w:tcPr>
          <w:p w:rsidR="00420FDB" w:rsidRPr="007F3E67" w:rsidRDefault="00420FDB" w:rsidP="007F3E67">
            <w:pPr>
              <w:jc w:val="left"/>
            </w:pPr>
            <w:r w:rsidRPr="007F3E67">
              <w:t>Allemande</w:t>
            </w:r>
          </w:p>
        </w:tc>
        <w:tc>
          <w:tcPr>
            <w:tcW w:w="764" w:type="pct"/>
          </w:tcPr>
          <w:p w:rsidR="00420FDB" w:rsidRPr="007F3E67" w:rsidRDefault="00420FDB" w:rsidP="007F3E67">
            <w:pPr>
              <w:jc w:val="left"/>
            </w:pPr>
            <w:r w:rsidRPr="007F3E67">
              <w:t>Berlin</w:t>
            </w:r>
          </w:p>
        </w:tc>
        <w:tc>
          <w:tcPr>
            <w:tcW w:w="943" w:type="pct"/>
          </w:tcPr>
          <w:p w:rsidR="00F90F26" w:rsidRPr="007F3E67" w:rsidRDefault="00F90F26" w:rsidP="007F3E67">
            <w:pPr>
              <w:rPr>
                <w:sz w:val="22"/>
                <w:lang w:val="it-IT"/>
              </w:rPr>
            </w:pPr>
            <w:r w:rsidRPr="007F3E67">
              <w:rPr>
                <w:sz w:val="22"/>
                <w:lang w:val="it-IT"/>
              </w:rPr>
              <w:t>V. Onida</w:t>
            </w:r>
          </w:p>
          <w:p w:rsidR="00F90F26" w:rsidRPr="007F3E67" w:rsidRDefault="00F90F26" w:rsidP="007F3E67">
            <w:pPr>
              <w:rPr>
                <w:sz w:val="22"/>
                <w:lang w:val="it-IT"/>
              </w:rPr>
            </w:pPr>
            <w:r w:rsidRPr="007F3E67">
              <w:rPr>
                <w:sz w:val="22"/>
                <w:lang w:val="it-IT"/>
              </w:rPr>
              <w:t>B. Randazzo</w:t>
            </w:r>
          </w:p>
          <w:p w:rsidR="00420FDB" w:rsidRPr="007F3E67" w:rsidRDefault="00F90F26" w:rsidP="007F3E67">
            <w:pPr>
              <w:jc w:val="left"/>
              <w:rPr>
                <w:lang w:val="it-IT"/>
              </w:rPr>
            </w:pPr>
            <w:r w:rsidRPr="007F3E67">
              <w:rPr>
                <w:sz w:val="22"/>
                <w:lang w:val="it-IT"/>
              </w:rPr>
              <w:t>R. Passeggi</w:t>
            </w:r>
          </w:p>
        </w:tc>
      </w:tr>
    </w:tbl>
    <w:p w:rsidR="0008551F" w:rsidRPr="007F3E67" w:rsidRDefault="0008551F" w:rsidP="007F3E67">
      <w:pPr>
        <w:rPr>
          <w:lang w:val="it-IT"/>
        </w:rPr>
      </w:pPr>
    </w:p>
    <w:sectPr w:rsidR="0008551F" w:rsidRPr="007F3E67" w:rsidSect="00FE03B4">
      <w:headerReference w:type="even" r:id="rId14"/>
      <w:headerReference w:type="default" r:id="rId15"/>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51A1" w:rsidRPr="00BC47F6" w:rsidRDefault="007151A1" w:rsidP="00E77CB3">
      <w:pPr>
        <w:rPr>
          <w:lang w:val="fr-FR"/>
        </w:rPr>
      </w:pPr>
      <w:r w:rsidRPr="00BC47F6">
        <w:rPr>
          <w:lang w:val="fr-FR"/>
        </w:rPr>
        <w:separator/>
      </w:r>
    </w:p>
  </w:endnote>
  <w:endnote w:type="continuationSeparator" w:id="0">
    <w:p w:rsidR="007151A1" w:rsidRPr="00BC47F6" w:rsidRDefault="007151A1" w:rsidP="00E77CB3">
      <w:pPr>
        <w:rPr>
          <w:lang w:val="fr-FR"/>
        </w:rPr>
      </w:pPr>
      <w:r w:rsidRPr="00BC47F6">
        <w:rPr>
          <w:lang w:val="fr-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imes New (W1)">
    <w:altName w:val="Times New Roman"/>
    <w:charset w:val="00"/>
    <w:family w:val="roman"/>
    <w:pitch w:val="variable"/>
    <w:sig w:usb0="00000000"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64B" w:rsidRPr="00150BFA" w:rsidRDefault="00F5064B" w:rsidP="000F51B7">
    <w:pPr>
      <w:jc w:val="center"/>
    </w:pPr>
    <w:r>
      <w:rPr>
        <w:noProof/>
        <w:lang w:val="it-IT" w:eastAsia="it-IT"/>
      </w:rPr>
      <w:drawing>
        <wp:inline distT="0" distB="0" distL="0" distR="0" wp14:anchorId="63698F4B" wp14:editId="63AB2941">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F5064B" w:rsidRDefault="00F5064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51A1" w:rsidRPr="00BC47F6" w:rsidRDefault="007151A1" w:rsidP="00E77CB3">
      <w:pPr>
        <w:rPr>
          <w:lang w:val="fr-FR"/>
        </w:rPr>
      </w:pPr>
      <w:r w:rsidRPr="00BC47F6">
        <w:rPr>
          <w:lang w:val="fr-FR"/>
        </w:rPr>
        <w:separator/>
      </w:r>
    </w:p>
  </w:footnote>
  <w:footnote w:type="continuationSeparator" w:id="0">
    <w:p w:rsidR="007151A1" w:rsidRPr="00BC47F6" w:rsidRDefault="007151A1" w:rsidP="00E77CB3">
      <w:pPr>
        <w:rPr>
          <w:lang w:val="fr-FR"/>
        </w:rPr>
      </w:pPr>
      <w:r w:rsidRPr="00BC47F6">
        <w:rPr>
          <w:lang w:val="fr-FR"/>
        </w:rPr>
        <w:continuationSeparator/>
      </w:r>
    </w:p>
  </w:footnote>
  <w:footnote w:id="1">
    <w:p w:rsidR="00F5064B" w:rsidRPr="00F5064B" w:rsidRDefault="00F5064B">
      <w:pPr>
        <w:pStyle w:val="Testonotaapidipagina"/>
        <w:rPr>
          <w:lang w:val="fr-FR"/>
        </w:rPr>
      </w:pPr>
      <w:r w:rsidRPr="00F5064B">
        <w:footnoteRef/>
      </w:r>
      <w:r>
        <w:rPr>
          <w:lang w:val="fr-FR"/>
        </w:rPr>
        <w:t>.  </w:t>
      </w:r>
      <w:r w:rsidRPr="00F5064B">
        <w:rPr>
          <w:i/>
          <w:lang w:val="fr-FR"/>
        </w:rPr>
        <w:t>Giuliani et Gaggio c. Italie</w:t>
      </w:r>
      <w:r w:rsidRPr="00F5064B">
        <w:rPr>
          <w:lang w:val="fr-FR"/>
        </w:rPr>
        <w:t xml:space="preserve"> [GC], n</w:t>
      </w:r>
      <w:r w:rsidRPr="00F5064B">
        <w:rPr>
          <w:vertAlign w:val="superscript"/>
          <w:lang w:val="fr-FR"/>
        </w:rPr>
        <w:t>o</w:t>
      </w:r>
      <w:r w:rsidRPr="00F5064B">
        <w:rPr>
          <w:lang w:val="fr-FR"/>
        </w:rPr>
        <w:t xml:space="preserve"> 23458/02, CEDH 2011 (extraits) ; voir également le Rapport final de l’enquête parlementaire d’information sur les faits survenus lors du G8 de Gênes du 20 septembre 2001 ; le jugement n</w:t>
      </w:r>
      <w:r w:rsidRPr="00F5064B">
        <w:rPr>
          <w:vertAlign w:val="superscript"/>
          <w:lang w:val="fr-FR"/>
        </w:rPr>
        <w:t>o</w:t>
      </w:r>
      <w:r w:rsidRPr="00F5064B">
        <w:rPr>
          <w:lang w:val="fr-FR"/>
        </w:rPr>
        <w:t xml:space="preserve"> 3119/08 du tribunal de Gênes, rendu le 14 juillet 2008 et déposé le 27 novembre 2008 ; le jugement n</w:t>
      </w:r>
      <w:r w:rsidRPr="00F5064B">
        <w:rPr>
          <w:vertAlign w:val="superscript"/>
          <w:lang w:val="fr-FR"/>
        </w:rPr>
        <w:t>o</w:t>
      </w:r>
      <w:r w:rsidRPr="00F5064B">
        <w:rPr>
          <w:lang w:val="fr-FR"/>
        </w:rPr>
        <w:t xml:space="preserve"> 4252/08 du tribunal de Gênes, rendu le 13 novembre 2008 et déposé le 11 février 2009 ; l’arrêt n</w:t>
      </w:r>
      <w:r w:rsidRPr="00F5064B">
        <w:rPr>
          <w:vertAlign w:val="superscript"/>
          <w:lang w:val="fr-FR"/>
        </w:rPr>
        <w:t>o</w:t>
      </w:r>
      <w:r w:rsidRPr="00F5064B">
        <w:rPr>
          <w:lang w:val="fr-FR"/>
        </w:rPr>
        <w:t xml:space="preserve"> 1530/10 de la cour d’appel de Gênes, rendu le 18 mai 2010 et déposé le 31 juillet 2010 ; l’arrêt n</w:t>
      </w:r>
      <w:r w:rsidRPr="00F5064B">
        <w:rPr>
          <w:vertAlign w:val="superscript"/>
          <w:lang w:val="fr-FR"/>
        </w:rPr>
        <w:t>o</w:t>
      </w:r>
      <w:r w:rsidRPr="00F5064B">
        <w:rPr>
          <w:lang w:val="fr-FR"/>
        </w:rPr>
        <w:t xml:space="preserve"> 678/10 de la cour d’appel de Gênes, rendu le 5 mars 2010 et déposé le 15 avril 2011 ; l’arrêt n</w:t>
      </w:r>
      <w:r w:rsidRPr="00F5064B">
        <w:rPr>
          <w:vertAlign w:val="superscript"/>
          <w:lang w:val="fr-FR"/>
        </w:rPr>
        <w:t>o</w:t>
      </w:r>
      <w:r w:rsidRPr="00F5064B">
        <w:rPr>
          <w:lang w:val="fr-FR"/>
        </w:rPr>
        <w:t> 38085/12 de la Cour de cassation, rendu le 5 juillet 2012 et déposé le 2 octobre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64B" w:rsidRPr="00FE03B4" w:rsidRDefault="00F5064B" w:rsidP="00FE03B4">
    <w:pPr>
      <w:pStyle w:val="Intestazio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64B" w:rsidRPr="00A45145" w:rsidRDefault="00F5064B" w:rsidP="000F51B7">
    <w:pPr>
      <w:jc w:val="center"/>
    </w:pPr>
    <w:r>
      <w:rPr>
        <w:noProof/>
        <w:lang w:val="it-IT" w:eastAsia="it-IT"/>
      </w:rPr>
      <w:drawing>
        <wp:inline distT="0" distB="0" distL="0" distR="0" wp14:anchorId="1B934F4C" wp14:editId="7D55E61B">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F5064B" w:rsidRDefault="00F5064B">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64B" w:rsidRPr="00BC47F6" w:rsidRDefault="00F5064B" w:rsidP="00C611D8">
    <w:pPr>
      <w:pStyle w:val="ECHRHeader"/>
      <w:rPr>
        <w:lang w:val="fr-FR"/>
      </w:rPr>
    </w:pPr>
    <w:r>
      <w:rPr>
        <w:rStyle w:val="Numeropagina"/>
        <w:lang w:val="fr-FR"/>
      </w:rPr>
      <w:fldChar w:fldCharType="begin"/>
    </w:r>
    <w:r>
      <w:rPr>
        <w:rStyle w:val="Numeropagina"/>
        <w:lang w:val="fr-FR"/>
      </w:rPr>
      <w:instrText xml:space="preserve"> PAGE </w:instrText>
    </w:r>
    <w:r>
      <w:rPr>
        <w:rStyle w:val="Numeropagina"/>
        <w:lang w:val="fr-FR"/>
      </w:rPr>
      <w:fldChar w:fldCharType="separate"/>
    </w:r>
    <w:r w:rsidR="00EF736E">
      <w:rPr>
        <w:rStyle w:val="Numeropagina"/>
        <w:noProof/>
        <w:lang w:val="fr-FR"/>
      </w:rPr>
      <w:t>26</w:t>
    </w:r>
    <w:r>
      <w:rPr>
        <w:rStyle w:val="Numeropagina"/>
        <w:lang w:val="fr-FR"/>
      </w:rPr>
      <w:fldChar w:fldCharType="end"/>
    </w:r>
    <w:r w:rsidRPr="00BC47F6">
      <w:rPr>
        <w:rStyle w:val="Numeropagina"/>
        <w:lang w:val="fr-FR"/>
      </w:rPr>
      <w:tab/>
    </w:r>
    <w:r>
      <w:rPr>
        <w:noProof/>
        <w:lang w:val="fr-FR"/>
      </w:rPr>
      <w:t>ARRÊT</w:t>
    </w:r>
    <w:r w:rsidRPr="00BC47F6">
      <w:rPr>
        <w:lang w:val="fr-FR"/>
      </w:rPr>
      <w:t xml:space="preserve"> </w:t>
    </w:r>
    <w:r>
      <w:rPr>
        <w:lang w:val="fr-FR"/>
      </w:rPr>
      <w:t>AZZOLINA ET AUTRES c. ITALIE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64B" w:rsidRPr="00BC47F6" w:rsidRDefault="00F5064B" w:rsidP="00C63990">
    <w:pPr>
      <w:pStyle w:val="ECHRHeader"/>
      <w:rPr>
        <w:lang w:val="fr-FR"/>
      </w:rPr>
    </w:pPr>
    <w:r w:rsidRPr="00BC47F6">
      <w:rPr>
        <w:lang w:val="fr-FR"/>
      </w:rPr>
      <w:tab/>
    </w:r>
    <w:r>
      <w:rPr>
        <w:noProof/>
        <w:lang w:val="fr-FR"/>
      </w:rPr>
      <w:t>ARRÊT</w:t>
    </w:r>
    <w:r w:rsidRPr="00BC47F6">
      <w:rPr>
        <w:lang w:val="fr-FR"/>
      </w:rPr>
      <w:t xml:space="preserve"> </w:t>
    </w:r>
    <w:r>
      <w:rPr>
        <w:lang w:val="fr-FR"/>
      </w:rPr>
      <w:t>AZZOLINA ET AUTRES c. ITALIE</w:t>
    </w:r>
    <w:r w:rsidRPr="00BC47F6">
      <w:rPr>
        <w:lang w:val="fr-FR"/>
      </w:rPr>
      <w:tab/>
    </w:r>
    <w:r>
      <w:rPr>
        <w:rStyle w:val="Numeropagina"/>
        <w:lang w:val="fr-FR"/>
      </w:rPr>
      <w:fldChar w:fldCharType="begin"/>
    </w:r>
    <w:r>
      <w:rPr>
        <w:rStyle w:val="Numeropagina"/>
        <w:lang w:val="fr-FR"/>
      </w:rPr>
      <w:instrText xml:space="preserve"> PAGE </w:instrText>
    </w:r>
    <w:r>
      <w:rPr>
        <w:rStyle w:val="Numeropagina"/>
        <w:lang w:val="fr-FR"/>
      </w:rPr>
      <w:fldChar w:fldCharType="separate"/>
    </w:r>
    <w:r w:rsidR="00EF736E">
      <w:rPr>
        <w:rStyle w:val="Numeropagina"/>
        <w:noProof/>
        <w:lang w:val="fr-FR"/>
      </w:rPr>
      <w:t>25</w:t>
    </w:r>
    <w:r>
      <w:rPr>
        <w:rStyle w:val="Numeropagina"/>
        <w:lang w:val="fr-F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40AA2222"/>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AC189B28"/>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90C4301E"/>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C7268F26"/>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CFA0A718"/>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FB382924"/>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268AD308"/>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20501D42"/>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CDE43E0C"/>
    <w:lvl w:ilvl="0">
      <w:start w:val="1"/>
      <w:numFmt w:val="decimal"/>
      <w:pStyle w:val="Numeroelenco"/>
      <w:lvlText w:val="%1."/>
      <w:lvlJc w:val="left"/>
      <w:pPr>
        <w:tabs>
          <w:tab w:val="num" w:pos="360"/>
        </w:tabs>
        <w:ind w:left="360" w:hanging="360"/>
      </w:pPr>
    </w:lvl>
  </w:abstractNum>
  <w:abstractNum w:abstractNumId="9">
    <w:nsid w:val="FFFFFF89"/>
    <w:multiLevelType w:val="singleLevel"/>
    <w:tmpl w:val="03AEA0B8"/>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01A71E9E"/>
    <w:multiLevelType w:val="hybridMultilevel"/>
    <w:tmpl w:val="0F6AACA2"/>
    <w:lvl w:ilvl="0" w:tplc="D23E3A4C">
      <w:start w:val="1"/>
      <w:numFmt w:val="decimal"/>
      <w:lvlRestart w:val="0"/>
      <w:lvlText w:val="%1."/>
      <w:lvlJc w:val="left"/>
      <w:pPr>
        <w:tabs>
          <w:tab w:val="num" w:pos="0"/>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4E8750E"/>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5D357D1"/>
    <w:multiLevelType w:val="hybridMultilevel"/>
    <w:tmpl w:val="759685D6"/>
    <w:lvl w:ilvl="0" w:tplc="3C643F50">
      <w:start w:val="1"/>
      <w:numFmt w:val="decimal"/>
      <w:lvlRestart w:val="0"/>
      <w:lvlText w:val="%1."/>
      <w:lvlJc w:val="left"/>
      <w:pPr>
        <w:tabs>
          <w:tab w:val="num" w:pos="0"/>
        </w:tabs>
        <w:ind w:left="0" w:firstLine="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27063F06"/>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21660E7"/>
    <w:multiLevelType w:val="hybridMultilevel"/>
    <w:tmpl w:val="83582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23501E"/>
    <w:multiLevelType w:val="hybridMultilevel"/>
    <w:tmpl w:val="E098EAD4"/>
    <w:lvl w:ilvl="0" w:tplc="3C643F50">
      <w:start w:val="1"/>
      <w:numFmt w:val="decimal"/>
      <w:lvlRestart w:val="0"/>
      <w:lvlText w:val="%1."/>
      <w:lvlJc w:val="left"/>
      <w:pPr>
        <w:tabs>
          <w:tab w:val="num" w:pos="284"/>
        </w:tabs>
        <w:ind w:left="284" w:firstLine="0"/>
      </w:pPr>
    </w:lvl>
    <w:lvl w:ilvl="1" w:tplc="08090019" w:tentative="1">
      <w:start w:val="1"/>
      <w:numFmt w:val="lowerLetter"/>
      <w:lvlText w:val="%2."/>
      <w:lvlJc w:val="left"/>
      <w:pPr>
        <w:tabs>
          <w:tab w:val="num" w:pos="1724"/>
        </w:tabs>
        <w:ind w:left="1724" w:hanging="360"/>
      </w:pPr>
    </w:lvl>
    <w:lvl w:ilvl="2" w:tplc="0809001B" w:tentative="1">
      <w:start w:val="1"/>
      <w:numFmt w:val="lowerRoman"/>
      <w:lvlText w:val="%3."/>
      <w:lvlJc w:val="right"/>
      <w:pPr>
        <w:tabs>
          <w:tab w:val="num" w:pos="2444"/>
        </w:tabs>
        <w:ind w:left="2444" w:hanging="180"/>
      </w:pPr>
    </w:lvl>
    <w:lvl w:ilvl="3" w:tplc="0809000F" w:tentative="1">
      <w:start w:val="1"/>
      <w:numFmt w:val="decimal"/>
      <w:lvlText w:val="%4."/>
      <w:lvlJc w:val="left"/>
      <w:pPr>
        <w:tabs>
          <w:tab w:val="num" w:pos="3164"/>
        </w:tabs>
        <w:ind w:left="3164" w:hanging="360"/>
      </w:pPr>
    </w:lvl>
    <w:lvl w:ilvl="4" w:tplc="08090019" w:tentative="1">
      <w:start w:val="1"/>
      <w:numFmt w:val="lowerLetter"/>
      <w:lvlText w:val="%5."/>
      <w:lvlJc w:val="left"/>
      <w:pPr>
        <w:tabs>
          <w:tab w:val="num" w:pos="3884"/>
        </w:tabs>
        <w:ind w:left="3884" w:hanging="360"/>
      </w:pPr>
    </w:lvl>
    <w:lvl w:ilvl="5" w:tplc="0809001B" w:tentative="1">
      <w:start w:val="1"/>
      <w:numFmt w:val="lowerRoman"/>
      <w:lvlText w:val="%6."/>
      <w:lvlJc w:val="right"/>
      <w:pPr>
        <w:tabs>
          <w:tab w:val="num" w:pos="4604"/>
        </w:tabs>
        <w:ind w:left="4604" w:hanging="180"/>
      </w:pPr>
    </w:lvl>
    <w:lvl w:ilvl="6" w:tplc="0809000F" w:tentative="1">
      <w:start w:val="1"/>
      <w:numFmt w:val="decimal"/>
      <w:lvlText w:val="%7."/>
      <w:lvlJc w:val="left"/>
      <w:pPr>
        <w:tabs>
          <w:tab w:val="num" w:pos="5324"/>
        </w:tabs>
        <w:ind w:left="5324" w:hanging="360"/>
      </w:pPr>
    </w:lvl>
    <w:lvl w:ilvl="7" w:tplc="08090019" w:tentative="1">
      <w:start w:val="1"/>
      <w:numFmt w:val="lowerLetter"/>
      <w:lvlText w:val="%8."/>
      <w:lvlJc w:val="left"/>
      <w:pPr>
        <w:tabs>
          <w:tab w:val="num" w:pos="6044"/>
        </w:tabs>
        <w:ind w:left="6044" w:hanging="360"/>
      </w:pPr>
    </w:lvl>
    <w:lvl w:ilvl="8" w:tplc="0809001B" w:tentative="1">
      <w:start w:val="1"/>
      <w:numFmt w:val="lowerRoman"/>
      <w:lvlText w:val="%9."/>
      <w:lvlJc w:val="right"/>
      <w:pPr>
        <w:tabs>
          <w:tab w:val="num" w:pos="6764"/>
        </w:tabs>
        <w:ind w:left="6764" w:hanging="180"/>
      </w:pPr>
    </w:lvl>
  </w:abstractNum>
  <w:abstractNum w:abstractNumId="16">
    <w:nsid w:val="65D7306C"/>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69F66050"/>
    <w:multiLevelType w:val="hybridMultilevel"/>
    <w:tmpl w:val="4A421DCE"/>
    <w:lvl w:ilvl="0" w:tplc="28802E2C">
      <w:start w:val="1"/>
      <w:numFmt w:val="decimal"/>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9"/>
  </w:num>
  <w:num w:numId="2">
    <w:abstractNumId w:val="13"/>
  </w:num>
  <w:num w:numId="3">
    <w:abstractNumId w:val="11"/>
  </w:num>
  <w:num w:numId="4">
    <w:abstractNumId w:val="16"/>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num>
  <w:num w:numId="15">
    <w:abstractNumId w:val="18"/>
  </w:num>
  <w:num w:numId="16">
    <w:abstractNumId w:val="14"/>
  </w:num>
  <w:num w:numId="17">
    <w:abstractNumId w:val="15"/>
  </w:num>
  <w:num w:numId="18">
    <w:abstractNumId w:val="12"/>
  </w:num>
  <w:num w:numId="19">
    <w:abstractNumId w:val="17"/>
  </w:num>
  <w:num w:numId="20">
    <w:abstractNumId w:val="10"/>
  </w:num>
  <w:num w:numId="21">
    <w:abstractNumId w:val="18"/>
  </w:num>
  <w:num w:numId="22">
    <w:abstractNumId w:val="18"/>
  </w:num>
  <w:num w:numId="23">
    <w:abstractNumId w:val="18"/>
  </w:num>
  <w:num w:numId="24">
    <w:abstractNumId w:val="18"/>
  </w:num>
  <w:num w:numId="25">
    <w:abstractNumId w:val="18"/>
  </w:num>
  <w:num w:numId="26">
    <w:abstractNumId w:val="18"/>
  </w:num>
  <w:num w:numId="27">
    <w:abstractNumId w:val="18"/>
  </w:num>
  <w:num w:numId="28">
    <w:abstractNumId w:val="18"/>
  </w:num>
  <w:num w:numId="29">
    <w:abstractNumId w:val="18"/>
  </w:num>
  <w:num w:numId="30">
    <w:abstractNumId w:val="18"/>
  </w:num>
  <w:num w:numId="31">
    <w:abstractNumId w:val="18"/>
  </w:num>
  <w:num w:numId="32">
    <w:abstractNumId w:val="18"/>
  </w:num>
  <w:num w:numId="33">
    <w:abstractNumId w:val="18"/>
  </w:num>
  <w:num w:numId="34">
    <w:abstractNumId w:val="18"/>
  </w:num>
  <w:num w:numId="35">
    <w:abstractNumId w:val="18"/>
  </w:num>
  <w:num w:numId="36">
    <w:abstractNumId w:val="18"/>
  </w:num>
  <w:num w:numId="37">
    <w:abstractNumId w:val="18"/>
  </w:num>
  <w:num w:numId="38">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NatAutre" w:val="0"/>
    <w:docVar w:name="DocVarPREMATURE" w:val="0"/>
    <w:docVar w:name="EMM" w:val="0"/>
    <w:docVar w:name="ETRANSMISSION" w:val="PAR VOIE ÉLECTRONIQUE UNIQUEMENT"/>
    <w:docVar w:name="L4_1Annex" w:val="0"/>
    <w:docVar w:name="L4_1Anonymity" w:val="0"/>
    <w:docVar w:name="NBApplication" w:val="1"/>
    <w:docVar w:name="NBEMMDOC" w:val="0"/>
    <w:docVar w:name="SignForeName" w:val="0"/>
  </w:docVars>
  <w:rsids>
    <w:rsidRoot w:val="00E235F1"/>
    <w:rsid w:val="00000105"/>
    <w:rsid w:val="00000524"/>
    <w:rsid w:val="0000333E"/>
    <w:rsid w:val="000041F8"/>
    <w:rsid w:val="000042A8"/>
    <w:rsid w:val="00004308"/>
    <w:rsid w:val="00005BF0"/>
    <w:rsid w:val="00007154"/>
    <w:rsid w:val="000103AE"/>
    <w:rsid w:val="00011D69"/>
    <w:rsid w:val="00012384"/>
    <w:rsid w:val="00012487"/>
    <w:rsid w:val="00012AD3"/>
    <w:rsid w:val="000138C9"/>
    <w:rsid w:val="00015C2D"/>
    <w:rsid w:val="00015F00"/>
    <w:rsid w:val="00022C19"/>
    <w:rsid w:val="00022C1D"/>
    <w:rsid w:val="00027BCF"/>
    <w:rsid w:val="00030056"/>
    <w:rsid w:val="00031347"/>
    <w:rsid w:val="00032193"/>
    <w:rsid w:val="000321C2"/>
    <w:rsid w:val="00034987"/>
    <w:rsid w:val="00041F2A"/>
    <w:rsid w:val="00043A74"/>
    <w:rsid w:val="00043E64"/>
    <w:rsid w:val="000452EC"/>
    <w:rsid w:val="000556DF"/>
    <w:rsid w:val="000576B9"/>
    <w:rsid w:val="000602DF"/>
    <w:rsid w:val="00061B05"/>
    <w:rsid w:val="000632D5"/>
    <w:rsid w:val="000644EE"/>
    <w:rsid w:val="00066A71"/>
    <w:rsid w:val="00074448"/>
    <w:rsid w:val="00076799"/>
    <w:rsid w:val="00076EAE"/>
    <w:rsid w:val="00084ECD"/>
    <w:rsid w:val="0008551F"/>
    <w:rsid w:val="0008637A"/>
    <w:rsid w:val="000925AD"/>
    <w:rsid w:val="000940D8"/>
    <w:rsid w:val="00094A16"/>
    <w:rsid w:val="000A24EB"/>
    <w:rsid w:val="000A7D2D"/>
    <w:rsid w:val="000B6923"/>
    <w:rsid w:val="000B6939"/>
    <w:rsid w:val="000C0020"/>
    <w:rsid w:val="000C3249"/>
    <w:rsid w:val="000C3718"/>
    <w:rsid w:val="000C3E1B"/>
    <w:rsid w:val="000C5F3C"/>
    <w:rsid w:val="000C6DCC"/>
    <w:rsid w:val="000D47AA"/>
    <w:rsid w:val="000D5EF0"/>
    <w:rsid w:val="000D721F"/>
    <w:rsid w:val="000E069B"/>
    <w:rsid w:val="000E0E82"/>
    <w:rsid w:val="000E1DC5"/>
    <w:rsid w:val="000E223F"/>
    <w:rsid w:val="000E71DE"/>
    <w:rsid w:val="000E7D45"/>
    <w:rsid w:val="000F00EF"/>
    <w:rsid w:val="000F51B7"/>
    <w:rsid w:val="000F6649"/>
    <w:rsid w:val="000F6A76"/>
    <w:rsid w:val="000F7851"/>
    <w:rsid w:val="00101B23"/>
    <w:rsid w:val="0010487D"/>
    <w:rsid w:val="00104E23"/>
    <w:rsid w:val="00105230"/>
    <w:rsid w:val="00111B0C"/>
    <w:rsid w:val="0011598E"/>
    <w:rsid w:val="00117082"/>
    <w:rsid w:val="00120D6C"/>
    <w:rsid w:val="00121782"/>
    <w:rsid w:val="001251E0"/>
    <w:rsid w:val="001257EC"/>
    <w:rsid w:val="00132695"/>
    <w:rsid w:val="00133AD2"/>
    <w:rsid w:val="00133D33"/>
    <w:rsid w:val="00134A65"/>
    <w:rsid w:val="00134D64"/>
    <w:rsid w:val="00135A30"/>
    <w:rsid w:val="0013612C"/>
    <w:rsid w:val="00137FF6"/>
    <w:rsid w:val="001403E9"/>
    <w:rsid w:val="00141650"/>
    <w:rsid w:val="00142025"/>
    <w:rsid w:val="001422F8"/>
    <w:rsid w:val="00144432"/>
    <w:rsid w:val="00144958"/>
    <w:rsid w:val="00146318"/>
    <w:rsid w:val="001516A3"/>
    <w:rsid w:val="00160C8A"/>
    <w:rsid w:val="00160E44"/>
    <w:rsid w:val="0016174F"/>
    <w:rsid w:val="001619D7"/>
    <w:rsid w:val="00162A12"/>
    <w:rsid w:val="00166530"/>
    <w:rsid w:val="0017142E"/>
    <w:rsid w:val="00176C41"/>
    <w:rsid w:val="00177D47"/>
    <w:rsid w:val="00177E01"/>
    <w:rsid w:val="00177E5D"/>
    <w:rsid w:val="00180C50"/>
    <w:rsid w:val="00181512"/>
    <w:rsid w:val="00181994"/>
    <w:rsid w:val="00182005"/>
    <w:rsid w:val="0018225C"/>
    <w:rsid w:val="001832BD"/>
    <w:rsid w:val="0018421D"/>
    <w:rsid w:val="00185763"/>
    <w:rsid w:val="0018600F"/>
    <w:rsid w:val="00186B9B"/>
    <w:rsid w:val="001930BD"/>
    <w:rsid w:val="001943B5"/>
    <w:rsid w:val="00195134"/>
    <w:rsid w:val="001971A5"/>
    <w:rsid w:val="001A145B"/>
    <w:rsid w:val="001A2042"/>
    <w:rsid w:val="001A5BA7"/>
    <w:rsid w:val="001A674C"/>
    <w:rsid w:val="001A6AEA"/>
    <w:rsid w:val="001B0EFD"/>
    <w:rsid w:val="001B178F"/>
    <w:rsid w:val="001B1D31"/>
    <w:rsid w:val="001B3B24"/>
    <w:rsid w:val="001B5FAB"/>
    <w:rsid w:val="001B66DA"/>
    <w:rsid w:val="001C0F98"/>
    <w:rsid w:val="001C21AD"/>
    <w:rsid w:val="001C2A42"/>
    <w:rsid w:val="001C3194"/>
    <w:rsid w:val="001C3521"/>
    <w:rsid w:val="001C41FA"/>
    <w:rsid w:val="001C6193"/>
    <w:rsid w:val="001C6CCD"/>
    <w:rsid w:val="001C78C3"/>
    <w:rsid w:val="001D12E7"/>
    <w:rsid w:val="001D63ED"/>
    <w:rsid w:val="001D7348"/>
    <w:rsid w:val="001E035B"/>
    <w:rsid w:val="001E0961"/>
    <w:rsid w:val="001E2CA6"/>
    <w:rsid w:val="001E3EAE"/>
    <w:rsid w:val="001E6F32"/>
    <w:rsid w:val="001F1D51"/>
    <w:rsid w:val="001F2145"/>
    <w:rsid w:val="001F3D42"/>
    <w:rsid w:val="001F4E43"/>
    <w:rsid w:val="001F5867"/>
    <w:rsid w:val="001F6262"/>
    <w:rsid w:val="001F67B0"/>
    <w:rsid w:val="001F7B3D"/>
    <w:rsid w:val="00205F9F"/>
    <w:rsid w:val="00210338"/>
    <w:rsid w:val="0021066E"/>
    <w:rsid w:val="002115FC"/>
    <w:rsid w:val="0021423C"/>
    <w:rsid w:val="002143EA"/>
    <w:rsid w:val="00221276"/>
    <w:rsid w:val="00230578"/>
    <w:rsid w:val="00230D00"/>
    <w:rsid w:val="00231DF7"/>
    <w:rsid w:val="00231FD1"/>
    <w:rsid w:val="002339E0"/>
    <w:rsid w:val="00233CF8"/>
    <w:rsid w:val="0023575D"/>
    <w:rsid w:val="00236D1E"/>
    <w:rsid w:val="00237148"/>
    <w:rsid w:val="002374C3"/>
    <w:rsid w:val="0024222D"/>
    <w:rsid w:val="00243E72"/>
    <w:rsid w:val="00244B0E"/>
    <w:rsid w:val="00244F6C"/>
    <w:rsid w:val="00247427"/>
    <w:rsid w:val="002507BF"/>
    <w:rsid w:val="002532C5"/>
    <w:rsid w:val="00260C03"/>
    <w:rsid w:val="00261666"/>
    <w:rsid w:val="00261CF2"/>
    <w:rsid w:val="00263420"/>
    <w:rsid w:val="00264381"/>
    <w:rsid w:val="0026540E"/>
    <w:rsid w:val="00272404"/>
    <w:rsid w:val="00272C9A"/>
    <w:rsid w:val="00272D12"/>
    <w:rsid w:val="002731D8"/>
    <w:rsid w:val="0027450A"/>
    <w:rsid w:val="00275123"/>
    <w:rsid w:val="0027633E"/>
    <w:rsid w:val="00282240"/>
    <w:rsid w:val="0028265B"/>
    <w:rsid w:val="00283F50"/>
    <w:rsid w:val="00286985"/>
    <w:rsid w:val="00291379"/>
    <w:rsid w:val="00293F1E"/>
    <w:rsid w:val="002948AD"/>
    <w:rsid w:val="002958DA"/>
    <w:rsid w:val="002A01CC"/>
    <w:rsid w:val="002A4D07"/>
    <w:rsid w:val="002A61B1"/>
    <w:rsid w:val="002A663C"/>
    <w:rsid w:val="002A6FEB"/>
    <w:rsid w:val="002B444B"/>
    <w:rsid w:val="002B543C"/>
    <w:rsid w:val="002B5887"/>
    <w:rsid w:val="002B67BA"/>
    <w:rsid w:val="002B7B6A"/>
    <w:rsid w:val="002C0E27"/>
    <w:rsid w:val="002C3040"/>
    <w:rsid w:val="002C3600"/>
    <w:rsid w:val="002C3CBB"/>
    <w:rsid w:val="002C56B9"/>
    <w:rsid w:val="002C5785"/>
    <w:rsid w:val="002D022D"/>
    <w:rsid w:val="002D0889"/>
    <w:rsid w:val="002D23B6"/>
    <w:rsid w:val="002D24BB"/>
    <w:rsid w:val="002D5285"/>
    <w:rsid w:val="002D60A8"/>
    <w:rsid w:val="002E02CB"/>
    <w:rsid w:val="002E0729"/>
    <w:rsid w:val="002E0FD1"/>
    <w:rsid w:val="002E214E"/>
    <w:rsid w:val="002E4E55"/>
    <w:rsid w:val="002E5BF7"/>
    <w:rsid w:val="002F2087"/>
    <w:rsid w:val="002F2AF7"/>
    <w:rsid w:val="002F7E1C"/>
    <w:rsid w:val="00301040"/>
    <w:rsid w:val="00301A75"/>
    <w:rsid w:val="00302F70"/>
    <w:rsid w:val="0030336F"/>
    <w:rsid w:val="0030375E"/>
    <w:rsid w:val="00304435"/>
    <w:rsid w:val="00306770"/>
    <w:rsid w:val="003113E9"/>
    <w:rsid w:val="00312A30"/>
    <w:rsid w:val="00315704"/>
    <w:rsid w:val="00316CEF"/>
    <w:rsid w:val="00320F72"/>
    <w:rsid w:val="00322416"/>
    <w:rsid w:val="0032463E"/>
    <w:rsid w:val="003255A9"/>
    <w:rsid w:val="00326224"/>
    <w:rsid w:val="0032747A"/>
    <w:rsid w:val="00327BA1"/>
    <w:rsid w:val="003333B1"/>
    <w:rsid w:val="00337EE4"/>
    <w:rsid w:val="00340FFD"/>
    <w:rsid w:val="00341B31"/>
    <w:rsid w:val="0034241C"/>
    <w:rsid w:val="00344354"/>
    <w:rsid w:val="00344FC4"/>
    <w:rsid w:val="003506B1"/>
    <w:rsid w:val="0035257A"/>
    <w:rsid w:val="00352E9D"/>
    <w:rsid w:val="00352F26"/>
    <w:rsid w:val="003539A0"/>
    <w:rsid w:val="00354F8C"/>
    <w:rsid w:val="00356AC7"/>
    <w:rsid w:val="003609FA"/>
    <w:rsid w:val="00362764"/>
    <w:rsid w:val="003710C8"/>
    <w:rsid w:val="0037275F"/>
    <w:rsid w:val="003750BE"/>
    <w:rsid w:val="00376791"/>
    <w:rsid w:val="00385F40"/>
    <w:rsid w:val="00387B9D"/>
    <w:rsid w:val="00391B4A"/>
    <w:rsid w:val="003921B5"/>
    <w:rsid w:val="0039364F"/>
    <w:rsid w:val="00393E57"/>
    <w:rsid w:val="00396686"/>
    <w:rsid w:val="0039778E"/>
    <w:rsid w:val="003A33B9"/>
    <w:rsid w:val="003A3C42"/>
    <w:rsid w:val="003B2814"/>
    <w:rsid w:val="003B3C09"/>
    <w:rsid w:val="003B4941"/>
    <w:rsid w:val="003C115F"/>
    <w:rsid w:val="003C24A9"/>
    <w:rsid w:val="003C390A"/>
    <w:rsid w:val="003C3A2C"/>
    <w:rsid w:val="003C5714"/>
    <w:rsid w:val="003C6B9F"/>
    <w:rsid w:val="003C6E2A"/>
    <w:rsid w:val="003D0299"/>
    <w:rsid w:val="003E0F56"/>
    <w:rsid w:val="003E16A1"/>
    <w:rsid w:val="003E1925"/>
    <w:rsid w:val="003E6D80"/>
    <w:rsid w:val="003E726D"/>
    <w:rsid w:val="003F05FA"/>
    <w:rsid w:val="003F0EBB"/>
    <w:rsid w:val="003F1680"/>
    <w:rsid w:val="003F244A"/>
    <w:rsid w:val="003F2C5F"/>
    <w:rsid w:val="003F30B8"/>
    <w:rsid w:val="003F4C45"/>
    <w:rsid w:val="003F5F7B"/>
    <w:rsid w:val="003F7D64"/>
    <w:rsid w:val="004011BB"/>
    <w:rsid w:val="004032F3"/>
    <w:rsid w:val="00405328"/>
    <w:rsid w:val="0041243D"/>
    <w:rsid w:val="004133B6"/>
    <w:rsid w:val="00414300"/>
    <w:rsid w:val="004147EA"/>
    <w:rsid w:val="00414BCD"/>
    <w:rsid w:val="004162C3"/>
    <w:rsid w:val="00420FDB"/>
    <w:rsid w:val="00421A30"/>
    <w:rsid w:val="00421F79"/>
    <w:rsid w:val="00422474"/>
    <w:rsid w:val="00425C67"/>
    <w:rsid w:val="00426271"/>
    <w:rsid w:val="004278B2"/>
    <w:rsid w:val="00427E7A"/>
    <w:rsid w:val="0043158B"/>
    <w:rsid w:val="004318F8"/>
    <w:rsid w:val="004321D9"/>
    <w:rsid w:val="00433696"/>
    <w:rsid w:val="00433747"/>
    <w:rsid w:val="0043396B"/>
    <w:rsid w:val="00434E0B"/>
    <w:rsid w:val="00434EC4"/>
    <w:rsid w:val="00435CA8"/>
    <w:rsid w:val="00436C49"/>
    <w:rsid w:val="004379DA"/>
    <w:rsid w:val="00437D72"/>
    <w:rsid w:val="00445366"/>
    <w:rsid w:val="00445896"/>
    <w:rsid w:val="00447116"/>
    <w:rsid w:val="00447F5B"/>
    <w:rsid w:val="0045037F"/>
    <w:rsid w:val="0045067D"/>
    <w:rsid w:val="0045375C"/>
    <w:rsid w:val="00454485"/>
    <w:rsid w:val="004556B3"/>
    <w:rsid w:val="00455811"/>
    <w:rsid w:val="004559E9"/>
    <w:rsid w:val="00461DB0"/>
    <w:rsid w:val="00463926"/>
    <w:rsid w:val="004648FE"/>
    <w:rsid w:val="00464C9A"/>
    <w:rsid w:val="0046529A"/>
    <w:rsid w:val="00467B79"/>
    <w:rsid w:val="004741F5"/>
    <w:rsid w:val="00474F3D"/>
    <w:rsid w:val="004769B2"/>
    <w:rsid w:val="00477E3A"/>
    <w:rsid w:val="00481250"/>
    <w:rsid w:val="004821CF"/>
    <w:rsid w:val="00483E5F"/>
    <w:rsid w:val="00485119"/>
    <w:rsid w:val="00485FF9"/>
    <w:rsid w:val="004907F0"/>
    <w:rsid w:val="0049140B"/>
    <w:rsid w:val="004915DF"/>
    <w:rsid w:val="004923A5"/>
    <w:rsid w:val="0049267E"/>
    <w:rsid w:val="00496BFB"/>
    <w:rsid w:val="004A1210"/>
    <w:rsid w:val="004A15C7"/>
    <w:rsid w:val="004A24D4"/>
    <w:rsid w:val="004A7ACF"/>
    <w:rsid w:val="004B013B"/>
    <w:rsid w:val="004B112B"/>
    <w:rsid w:val="004B2C3A"/>
    <w:rsid w:val="004B2D7F"/>
    <w:rsid w:val="004C01E4"/>
    <w:rsid w:val="004C086C"/>
    <w:rsid w:val="004C1F56"/>
    <w:rsid w:val="004C27BC"/>
    <w:rsid w:val="004C59E3"/>
    <w:rsid w:val="004D15F3"/>
    <w:rsid w:val="004D35BD"/>
    <w:rsid w:val="004D5311"/>
    <w:rsid w:val="004D5DCC"/>
    <w:rsid w:val="004D631E"/>
    <w:rsid w:val="004E176A"/>
    <w:rsid w:val="004E1C0F"/>
    <w:rsid w:val="004E7096"/>
    <w:rsid w:val="004F10AF"/>
    <w:rsid w:val="004F11A4"/>
    <w:rsid w:val="004F1D6E"/>
    <w:rsid w:val="004F2389"/>
    <w:rsid w:val="004F2979"/>
    <w:rsid w:val="004F304D"/>
    <w:rsid w:val="004F3FBD"/>
    <w:rsid w:val="004F61BE"/>
    <w:rsid w:val="004F66B1"/>
    <w:rsid w:val="004F6E7B"/>
    <w:rsid w:val="005018FB"/>
    <w:rsid w:val="00503069"/>
    <w:rsid w:val="0050758A"/>
    <w:rsid w:val="00507FF5"/>
    <w:rsid w:val="00510D4C"/>
    <w:rsid w:val="00511155"/>
    <w:rsid w:val="00511B0B"/>
    <w:rsid w:val="00511C07"/>
    <w:rsid w:val="00513BE3"/>
    <w:rsid w:val="005173A6"/>
    <w:rsid w:val="00520BAA"/>
    <w:rsid w:val="00523C0E"/>
    <w:rsid w:val="00525208"/>
    <w:rsid w:val="00525389"/>
    <w:rsid w:val="005257A5"/>
    <w:rsid w:val="00525F2C"/>
    <w:rsid w:val="005264C0"/>
    <w:rsid w:val="00526A8A"/>
    <w:rsid w:val="00531DF2"/>
    <w:rsid w:val="0053342E"/>
    <w:rsid w:val="00535632"/>
    <w:rsid w:val="00540E55"/>
    <w:rsid w:val="005442EE"/>
    <w:rsid w:val="00547353"/>
    <w:rsid w:val="005474E7"/>
    <w:rsid w:val="005512A3"/>
    <w:rsid w:val="005531AD"/>
    <w:rsid w:val="00555B47"/>
    <w:rsid w:val="005578CE"/>
    <w:rsid w:val="00561CE3"/>
    <w:rsid w:val="00562781"/>
    <w:rsid w:val="00562C77"/>
    <w:rsid w:val="00566601"/>
    <w:rsid w:val="005670AC"/>
    <w:rsid w:val="0057115E"/>
    <w:rsid w:val="0057271C"/>
    <w:rsid w:val="00572845"/>
    <w:rsid w:val="00574C83"/>
    <w:rsid w:val="00581666"/>
    <w:rsid w:val="00582ECE"/>
    <w:rsid w:val="00592772"/>
    <w:rsid w:val="00595021"/>
    <w:rsid w:val="0059574A"/>
    <w:rsid w:val="00596468"/>
    <w:rsid w:val="00596DF1"/>
    <w:rsid w:val="005976FE"/>
    <w:rsid w:val="005A02CB"/>
    <w:rsid w:val="005A043E"/>
    <w:rsid w:val="005A1B9B"/>
    <w:rsid w:val="005A6751"/>
    <w:rsid w:val="005B092E"/>
    <w:rsid w:val="005B1238"/>
    <w:rsid w:val="005B152C"/>
    <w:rsid w:val="005B1EE0"/>
    <w:rsid w:val="005B2B24"/>
    <w:rsid w:val="005B4425"/>
    <w:rsid w:val="005B4B94"/>
    <w:rsid w:val="005C3EE8"/>
    <w:rsid w:val="005C67EF"/>
    <w:rsid w:val="005C722F"/>
    <w:rsid w:val="005D34F9"/>
    <w:rsid w:val="005D4190"/>
    <w:rsid w:val="005D6173"/>
    <w:rsid w:val="005D61C8"/>
    <w:rsid w:val="005D67A3"/>
    <w:rsid w:val="005E0D08"/>
    <w:rsid w:val="005E2988"/>
    <w:rsid w:val="005E3085"/>
    <w:rsid w:val="005E37C6"/>
    <w:rsid w:val="005E3FDD"/>
    <w:rsid w:val="005E5D40"/>
    <w:rsid w:val="005E5F5C"/>
    <w:rsid w:val="005E6F73"/>
    <w:rsid w:val="005F2217"/>
    <w:rsid w:val="005F2CBB"/>
    <w:rsid w:val="005F3923"/>
    <w:rsid w:val="005F51E1"/>
    <w:rsid w:val="005F6D22"/>
    <w:rsid w:val="005F7C0E"/>
    <w:rsid w:val="0060252D"/>
    <w:rsid w:val="00603E3B"/>
    <w:rsid w:val="00606990"/>
    <w:rsid w:val="00611056"/>
    <w:rsid w:val="00611C80"/>
    <w:rsid w:val="00620692"/>
    <w:rsid w:val="00622632"/>
    <w:rsid w:val="006242CA"/>
    <w:rsid w:val="00624775"/>
    <w:rsid w:val="00627507"/>
    <w:rsid w:val="00627A73"/>
    <w:rsid w:val="006327A9"/>
    <w:rsid w:val="00633717"/>
    <w:rsid w:val="00633749"/>
    <w:rsid w:val="006344E1"/>
    <w:rsid w:val="00636E74"/>
    <w:rsid w:val="006378F1"/>
    <w:rsid w:val="0064307B"/>
    <w:rsid w:val="006450D0"/>
    <w:rsid w:val="00650E11"/>
    <w:rsid w:val="0065107D"/>
    <w:rsid w:val="0065298D"/>
    <w:rsid w:val="006532EE"/>
    <w:rsid w:val="006536A3"/>
    <w:rsid w:val="006545C4"/>
    <w:rsid w:val="00654FB7"/>
    <w:rsid w:val="00655116"/>
    <w:rsid w:val="00660DD5"/>
    <w:rsid w:val="00661971"/>
    <w:rsid w:val="00661CE8"/>
    <w:rsid w:val="006623D9"/>
    <w:rsid w:val="0066550C"/>
    <w:rsid w:val="00667B26"/>
    <w:rsid w:val="006716F2"/>
    <w:rsid w:val="00674509"/>
    <w:rsid w:val="00681EA4"/>
    <w:rsid w:val="00682BF2"/>
    <w:rsid w:val="00684EFA"/>
    <w:rsid w:val="006859CE"/>
    <w:rsid w:val="00687238"/>
    <w:rsid w:val="00691270"/>
    <w:rsid w:val="00692DEA"/>
    <w:rsid w:val="00693D7E"/>
    <w:rsid w:val="00694A2E"/>
    <w:rsid w:val="00694BA8"/>
    <w:rsid w:val="00695F3C"/>
    <w:rsid w:val="00696711"/>
    <w:rsid w:val="006A037C"/>
    <w:rsid w:val="006A36F4"/>
    <w:rsid w:val="006A406F"/>
    <w:rsid w:val="006A53A3"/>
    <w:rsid w:val="006A5D3A"/>
    <w:rsid w:val="006B20FB"/>
    <w:rsid w:val="006B22B2"/>
    <w:rsid w:val="006B30AB"/>
    <w:rsid w:val="006B63FF"/>
    <w:rsid w:val="006B7016"/>
    <w:rsid w:val="006C188A"/>
    <w:rsid w:val="006C1BCB"/>
    <w:rsid w:val="006C23D4"/>
    <w:rsid w:val="006C2EDA"/>
    <w:rsid w:val="006C383B"/>
    <w:rsid w:val="006C64BE"/>
    <w:rsid w:val="006C68C5"/>
    <w:rsid w:val="006C7BB0"/>
    <w:rsid w:val="006D02E3"/>
    <w:rsid w:val="006D28C9"/>
    <w:rsid w:val="006D3237"/>
    <w:rsid w:val="006D4E59"/>
    <w:rsid w:val="006E2E37"/>
    <w:rsid w:val="006E34B3"/>
    <w:rsid w:val="006E3643"/>
    <w:rsid w:val="006E3CF1"/>
    <w:rsid w:val="006E74BE"/>
    <w:rsid w:val="006E7E80"/>
    <w:rsid w:val="006F1400"/>
    <w:rsid w:val="006F1DEB"/>
    <w:rsid w:val="006F2AD8"/>
    <w:rsid w:val="006F3739"/>
    <w:rsid w:val="006F48CA"/>
    <w:rsid w:val="006F64DD"/>
    <w:rsid w:val="006F713F"/>
    <w:rsid w:val="006F73F3"/>
    <w:rsid w:val="007042AE"/>
    <w:rsid w:val="00710E89"/>
    <w:rsid w:val="00711B9F"/>
    <w:rsid w:val="00713CB2"/>
    <w:rsid w:val="007141CA"/>
    <w:rsid w:val="00715127"/>
    <w:rsid w:val="007151A1"/>
    <w:rsid w:val="00715E8E"/>
    <w:rsid w:val="00717385"/>
    <w:rsid w:val="00721112"/>
    <w:rsid w:val="00723580"/>
    <w:rsid w:val="00723755"/>
    <w:rsid w:val="00723F76"/>
    <w:rsid w:val="00726A41"/>
    <w:rsid w:val="007301AC"/>
    <w:rsid w:val="007301B2"/>
    <w:rsid w:val="0073136C"/>
    <w:rsid w:val="00731F0F"/>
    <w:rsid w:val="00732300"/>
    <w:rsid w:val="00733250"/>
    <w:rsid w:val="00734FA3"/>
    <w:rsid w:val="0073580A"/>
    <w:rsid w:val="00737F46"/>
    <w:rsid w:val="00741404"/>
    <w:rsid w:val="00741C4E"/>
    <w:rsid w:val="00744533"/>
    <w:rsid w:val="007449E5"/>
    <w:rsid w:val="0074516B"/>
    <w:rsid w:val="00746D6D"/>
    <w:rsid w:val="00747FF0"/>
    <w:rsid w:val="0075534E"/>
    <w:rsid w:val="007573BC"/>
    <w:rsid w:val="00762958"/>
    <w:rsid w:val="00764D4E"/>
    <w:rsid w:val="00765A1F"/>
    <w:rsid w:val="0076790E"/>
    <w:rsid w:val="00770349"/>
    <w:rsid w:val="00770480"/>
    <w:rsid w:val="00771066"/>
    <w:rsid w:val="00775B6D"/>
    <w:rsid w:val="00776483"/>
    <w:rsid w:val="00776D68"/>
    <w:rsid w:val="007771C3"/>
    <w:rsid w:val="007775C7"/>
    <w:rsid w:val="007802FC"/>
    <w:rsid w:val="00782E16"/>
    <w:rsid w:val="007850EE"/>
    <w:rsid w:val="00785B95"/>
    <w:rsid w:val="00790E96"/>
    <w:rsid w:val="00791EC8"/>
    <w:rsid w:val="00793366"/>
    <w:rsid w:val="007934B0"/>
    <w:rsid w:val="007939DC"/>
    <w:rsid w:val="00794B34"/>
    <w:rsid w:val="007952DA"/>
    <w:rsid w:val="007956F7"/>
    <w:rsid w:val="00795A18"/>
    <w:rsid w:val="007A0756"/>
    <w:rsid w:val="007A19DF"/>
    <w:rsid w:val="007A37B9"/>
    <w:rsid w:val="007A68DE"/>
    <w:rsid w:val="007A6ACE"/>
    <w:rsid w:val="007A7013"/>
    <w:rsid w:val="007A716F"/>
    <w:rsid w:val="007A7EBE"/>
    <w:rsid w:val="007B270A"/>
    <w:rsid w:val="007B4B56"/>
    <w:rsid w:val="007B5DE6"/>
    <w:rsid w:val="007C0695"/>
    <w:rsid w:val="007C0988"/>
    <w:rsid w:val="007C419A"/>
    <w:rsid w:val="007C4CB3"/>
    <w:rsid w:val="007C4CC8"/>
    <w:rsid w:val="007C5426"/>
    <w:rsid w:val="007C5798"/>
    <w:rsid w:val="007C608D"/>
    <w:rsid w:val="007C654A"/>
    <w:rsid w:val="007D3616"/>
    <w:rsid w:val="007D3AB5"/>
    <w:rsid w:val="007D4557"/>
    <w:rsid w:val="007D4832"/>
    <w:rsid w:val="007D6811"/>
    <w:rsid w:val="007E21B2"/>
    <w:rsid w:val="007E235C"/>
    <w:rsid w:val="007E2C4E"/>
    <w:rsid w:val="007E3A0F"/>
    <w:rsid w:val="007E3ED4"/>
    <w:rsid w:val="007E48C2"/>
    <w:rsid w:val="007E490A"/>
    <w:rsid w:val="007E7F96"/>
    <w:rsid w:val="007F0FA5"/>
    <w:rsid w:val="007F1905"/>
    <w:rsid w:val="007F3E67"/>
    <w:rsid w:val="007F4241"/>
    <w:rsid w:val="007F4F51"/>
    <w:rsid w:val="00801300"/>
    <w:rsid w:val="00802C64"/>
    <w:rsid w:val="0080577D"/>
    <w:rsid w:val="00805E52"/>
    <w:rsid w:val="008061D0"/>
    <w:rsid w:val="008071E4"/>
    <w:rsid w:val="00810505"/>
    <w:rsid w:val="00810B38"/>
    <w:rsid w:val="00814A64"/>
    <w:rsid w:val="008204C7"/>
    <w:rsid w:val="00820992"/>
    <w:rsid w:val="00823602"/>
    <w:rsid w:val="00823A7E"/>
    <w:rsid w:val="008248C9"/>
    <w:rsid w:val="008255F5"/>
    <w:rsid w:val="0083014E"/>
    <w:rsid w:val="0083214A"/>
    <w:rsid w:val="00832C49"/>
    <w:rsid w:val="00833813"/>
    <w:rsid w:val="00834220"/>
    <w:rsid w:val="008368EC"/>
    <w:rsid w:val="00836F9C"/>
    <w:rsid w:val="0083716B"/>
    <w:rsid w:val="00841957"/>
    <w:rsid w:val="00842CBF"/>
    <w:rsid w:val="0084351A"/>
    <w:rsid w:val="00845723"/>
    <w:rsid w:val="00846068"/>
    <w:rsid w:val="00847C11"/>
    <w:rsid w:val="00851442"/>
    <w:rsid w:val="00851EF9"/>
    <w:rsid w:val="0085549D"/>
    <w:rsid w:val="0085560C"/>
    <w:rsid w:val="008577FD"/>
    <w:rsid w:val="00860B03"/>
    <w:rsid w:val="0086497A"/>
    <w:rsid w:val="00865F7C"/>
    <w:rsid w:val="00867369"/>
    <w:rsid w:val="008713A1"/>
    <w:rsid w:val="008754AB"/>
    <w:rsid w:val="008756CC"/>
    <w:rsid w:val="00875AB3"/>
    <w:rsid w:val="00875D76"/>
    <w:rsid w:val="0088060C"/>
    <w:rsid w:val="008810E5"/>
    <w:rsid w:val="0088129B"/>
    <w:rsid w:val="00881D5B"/>
    <w:rsid w:val="00882C0B"/>
    <w:rsid w:val="00886D8C"/>
    <w:rsid w:val="0088786D"/>
    <w:rsid w:val="00893576"/>
    <w:rsid w:val="00893E73"/>
    <w:rsid w:val="00895D6A"/>
    <w:rsid w:val="008A1210"/>
    <w:rsid w:val="008A3206"/>
    <w:rsid w:val="008A3699"/>
    <w:rsid w:val="008B02DC"/>
    <w:rsid w:val="008B032D"/>
    <w:rsid w:val="008B12A8"/>
    <w:rsid w:val="008B51A7"/>
    <w:rsid w:val="008B57CE"/>
    <w:rsid w:val="008C1291"/>
    <w:rsid w:val="008C26DE"/>
    <w:rsid w:val="008C4C57"/>
    <w:rsid w:val="008C6686"/>
    <w:rsid w:val="008D0EC5"/>
    <w:rsid w:val="008D1138"/>
    <w:rsid w:val="008D2225"/>
    <w:rsid w:val="008D27CF"/>
    <w:rsid w:val="008D3257"/>
    <w:rsid w:val="008D4752"/>
    <w:rsid w:val="008D7298"/>
    <w:rsid w:val="008E16EE"/>
    <w:rsid w:val="008E2368"/>
    <w:rsid w:val="008E271C"/>
    <w:rsid w:val="008E418E"/>
    <w:rsid w:val="008E5BC6"/>
    <w:rsid w:val="008E6A25"/>
    <w:rsid w:val="008E7EF7"/>
    <w:rsid w:val="008F0F55"/>
    <w:rsid w:val="008F17CC"/>
    <w:rsid w:val="008F1AF0"/>
    <w:rsid w:val="008F2098"/>
    <w:rsid w:val="008F5193"/>
    <w:rsid w:val="009013A7"/>
    <w:rsid w:val="009017FB"/>
    <w:rsid w:val="009017FC"/>
    <w:rsid w:val="00902CAA"/>
    <w:rsid w:val="00903DD5"/>
    <w:rsid w:val="0090506B"/>
    <w:rsid w:val="009050C9"/>
    <w:rsid w:val="009062E4"/>
    <w:rsid w:val="009066FC"/>
    <w:rsid w:val="00911425"/>
    <w:rsid w:val="00912152"/>
    <w:rsid w:val="009140A3"/>
    <w:rsid w:val="009144A2"/>
    <w:rsid w:val="0091510C"/>
    <w:rsid w:val="009206B2"/>
    <w:rsid w:val="009232AC"/>
    <w:rsid w:val="009235D3"/>
    <w:rsid w:val="009259AC"/>
    <w:rsid w:val="0092690B"/>
    <w:rsid w:val="00926AD5"/>
    <w:rsid w:val="00926F38"/>
    <w:rsid w:val="009275AD"/>
    <w:rsid w:val="00934301"/>
    <w:rsid w:val="00936C2D"/>
    <w:rsid w:val="00936CD1"/>
    <w:rsid w:val="00937910"/>
    <w:rsid w:val="00941747"/>
    <w:rsid w:val="00941EFB"/>
    <w:rsid w:val="009458F7"/>
    <w:rsid w:val="009468D2"/>
    <w:rsid w:val="00947AFB"/>
    <w:rsid w:val="00951D7D"/>
    <w:rsid w:val="00953B6F"/>
    <w:rsid w:val="00962FEF"/>
    <w:rsid w:val="009630C7"/>
    <w:rsid w:val="00972B55"/>
    <w:rsid w:val="00973874"/>
    <w:rsid w:val="00973DC1"/>
    <w:rsid w:val="009743B7"/>
    <w:rsid w:val="0098152E"/>
    <w:rsid w:val="0098228B"/>
    <w:rsid w:val="009828DA"/>
    <w:rsid w:val="00985BAB"/>
    <w:rsid w:val="00990997"/>
    <w:rsid w:val="009929B9"/>
    <w:rsid w:val="00995CD2"/>
    <w:rsid w:val="009A3584"/>
    <w:rsid w:val="009A389D"/>
    <w:rsid w:val="009A3B75"/>
    <w:rsid w:val="009B1B5F"/>
    <w:rsid w:val="009B518B"/>
    <w:rsid w:val="009B6673"/>
    <w:rsid w:val="009C191B"/>
    <w:rsid w:val="009C2BD6"/>
    <w:rsid w:val="009C5881"/>
    <w:rsid w:val="009C7511"/>
    <w:rsid w:val="009C7A0B"/>
    <w:rsid w:val="009D6A74"/>
    <w:rsid w:val="009D7CBD"/>
    <w:rsid w:val="009E1F32"/>
    <w:rsid w:val="009E56D5"/>
    <w:rsid w:val="009E62E8"/>
    <w:rsid w:val="009E776C"/>
    <w:rsid w:val="009F2B69"/>
    <w:rsid w:val="009F331B"/>
    <w:rsid w:val="009F36B5"/>
    <w:rsid w:val="009F66CE"/>
    <w:rsid w:val="009F7F7D"/>
    <w:rsid w:val="00A00144"/>
    <w:rsid w:val="00A01202"/>
    <w:rsid w:val="00A0198E"/>
    <w:rsid w:val="00A039CF"/>
    <w:rsid w:val="00A03DCB"/>
    <w:rsid w:val="00A07F4A"/>
    <w:rsid w:val="00A129C4"/>
    <w:rsid w:val="00A1347E"/>
    <w:rsid w:val="00A13CCB"/>
    <w:rsid w:val="00A1726E"/>
    <w:rsid w:val="00A204CF"/>
    <w:rsid w:val="00A23D49"/>
    <w:rsid w:val="00A24CAE"/>
    <w:rsid w:val="00A259CA"/>
    <w:rsid w:val="00A25D3E"/>
    <w:rsid w:val="00A26B93"/>
    <w:rsid w:val="00A27004"/>
    <w:rsid w:val="00A30535"/>
    <w:rsid w:val="00A30C29"/>
    <w:rsid w:val="00A34DD6"/>
    <w:rsid w:val="00A36819"/>
    <w:rsid w:val="00A36989"/>
    <w:rsid w:val="00A43308"/>
    <w:rsid w:val="00A43628"/>
    <w:rsid w:val="00A43FBC"/>
    <w:rsid w:val="00A4440F"/>
    <w:rsid w:val="00A45BDB"/>
    <w:rsid w:val="00A45D83"/>
    <w:rsid w:val="00A516CC"/>
    <w:rsid w:val="00A54192"/>
    <w:rsid w:val="00A56029"/>
    <w:rsid w:val="00A5648B"/>
    <w:rsid w:val="00A6035E"/>
    <w:rsid w:val="00A6144C"/>
    <w:rsid w:val="00A66617"/>
    <w:rsid w:val="00A66C8D"/>
    <w:rsid w:val="00A66F7F"/>
    <w:rsid w:val="00A671F8"/>
    <w:rsid w:val="00A673A4"/>
    <w:rsid w:val="00A67531"/>
    <w:rsid w:val="00A70E21"/>
    <w:rsid w:val="00A724AE"/>
    <w:rsid w:val="00A73329"/>
    <w:rsid w:val="00A7338E"/>
    <w:rsid w:val="00A74BC1"/>
    <w:rsid w:val="00A77031"/>
    <w:rsid w:val="00A8177F"/>
    <w:rsid w:val="00A82359"/>
    <w:rsid w:val="00A84C80"/>
    <w:rsid w:val="00A86344"/>
    <w:rsid w:val="00A865D2"/>
    <w:rsid w:val="00A86B6A"/>
    <w:rsid w:val="00A86D80"/>
    <w:rsid w:val="00A91AA7"/>
    <w:rsid w:val="00A91D0A"/>
    <w:rsid w:val="00A94C20"/>
    <w:rsid w:val="00A97EF9"/>
    <w:rsid w:val="00AA156E"/>
    <w:rsid w:val="00AA227F"/>
    <w:rsid w:val="00AA3BC7"/>
    <w:rsid w:val="00AA44AC"/>
    <w:rsid w:val="00AA45B6"/>
    <w:rsid w:val="00AA754A"/>
    <w:rsid w:val="00AB099E"/>
    <w:rsid w:val="00AB1B61"/>
    <w:rsid w:val="00AB288A"/>
    <w:rsid w:val="00AB2E7D"/>
    <w:rsid w:val="00AB3439"/>
    <w:rsid w:val="00AB4328"/>
    <w:rsid w:val="00AB54E3"/>
    <w:rsid w:val="00AC01AA"/>
    <w:rsid w:val="00AC0824"/>
    <w:rsid w:val="00AC4E76"/>
    <w:rsid w:val="00AC4EBF"/>
    <w:rsid w:val="00AC4FB0"/>
    <w:rsid w:val="00AC5984"/>
    <w:rsid w:val="00AD254D"/>
    <w:rsid w:val="00AD2AE0"/>
    <w:rsid w:val="00AD2F80"/>
    <w:rsid w:val="00AD412E"/>
    <w:rsid w:val="00AD4A55"/>
    <w:rsid w:val="00AD71C6"/>
    <w:rsid w:val="00AE0A2E"/>
    <w:rsid w:val="00AE1B44"/>
    <w:rsid w:val="00AE354C"/>
    <w:rsid w:val="00AE3F99"/>
    <w:rsid w:val="00AE753A"/>
    <w:rsid w:val="00AE7645"/>
    <w:rsid w:val="00AF0CC2"/>
    <w:rsid w:val="00AF3BFD"/>
    <w:rsid w:val="00AF4B07"/>
    <w:rsid w:val="00AF5CC8"/>
    <w:rsid w:val="00AF6186"/>
    <w:rsid w:val="00AF72F3"/>
    <w:rsid w:val="00AF7A3A"/>
    <w:rsid w:val="00B01006"/>
    <w:rsid w:val="00B0429B"/>
    <w:rsid w:val="00B1154E"/>
    <w:rsid w:val="00B12BE9"/>
    <w:rsid w:val="00B13D31"/>
    <w:rsid w:val="00B160DB"/>
    <w:rsid w:val="00B20836"/>
    <w:rsid w:val="00B21EE6"/>
    <w:rsid w:val="00B222AD"/>
    <w:rsid w:val="00B22EF1"/>
    <w:rsid w:val="00B235BB"/>
    <w:rsid w:val="00B238CC"/>
    <w:rsid w:val="00B23AF4"/>
    <w:rsid w:val="00B27A44"/>
    <w:rsid w:val="00B30BBF"/>
    <w:rsid w:val="00B33C03"/>
    <w:rsid w:val="00B3500D"/>
    <w:rsid w:val="00B35652"/>
    <w:rsid w:val="00B3655D"/>
    <w:rsid w:val="00B42DC8"/>
    <w:rsid w:val="00B42F93"/>
    <w:rsid w:val="00B43294"/>
    <w:rsid w:val="00B44E56"/>
    <w:rsid w:val="00B455A2"/>
    <w:rsid w:val="00B46543"/>
    <w:rsid w:val="00B47D33"/>
    <w:rsid w:val="00B52BE0"/>
    <w:rsid w:val="00B54128"/>
    <w:rsid w:val="00B54133"/>
    <w:rsid w:val="00B5463F"/>
    <w:rsid w:val="00B63917"/>
    <w:rsid w:val="00B66FA4"/>
    <w:rsid w:val="00B67DEA"/>
    <w:rsid w:val="00B701ED"/>
    <w:rsid w:val="00B72495"/>
    <w:rsid w:val="00B732FB"/>
    <w:rsid w:val="00B74E86"/>
    <w:rsid w:val="00B772F7"/>
    <w:rsid w:val="00B8086C"/>
    <w:rsid w:val="00B861B4"/>
    <w:rsid w:val="00B86DFE"/>
    <w:rsid w:val="00B9003E"/>
    <w:rsid w:val="00B90990"/>
    <w:rsid w:val="00B922FF"/>
    <w:rsid w:val="00B9281E"/>
    <w:rsid w:val="00B9346A"/>
    <w:rsid w:val="00B93925"/>
    <w:rsid w:val="00B93ECF"/>
    <w:rsid w:val="00B95187"/>
    <w:rsid w:val="00B9776F"/>
    <w:rsid w:val="00B97EC3"/>
    <w:rsid w:val="00BA2D55"/>
    <w:rsid w:val="00BA3766"/>
    <w:rsid w:val="00BA4FF8"/>
    <w:rsid w:val="00BA71B1"/>
    <w:rsid w:val="00BB0637"/>
    <w:rsid w:val="00BB345F"/>
    <w:rsid w:val="00BB4F77"/>
    <w:rsid w:val="00BB5D93"/>
    <w:rsid w:val="00BB5E78"/>
    <w:rsid w:val="00BB68EA"/>
    <w:rsid w:val="00BC1C27"/>
    <w:rsid w:val="00BC2C09"/>
    <w:rsid w:val="00BC2FE7"/>
    <w:rsid w:val="00BC47F6"/>
    <w:rsid w:val="00BC4A8F"/>
    <w:rsid w:val="00BC6BBF"/>
    <w:rsid w:val="00BD0653"/>
    <w:rsid w:val="00BD1572"/>
    <w:rsid w:val="00BD2C99"/>
    <w:rsid w:val="00BD53E5"/>
    <w:rsid w:val="00BD76A9"/>
    <w:rsid w:val="00BE14E3"/>
    <w:rsid w:val="00BE1A3E"/>
    <w:rsid w:val="00BE3774"/>
    <w:rsid w:val="00BE41E5"/>
    <w:rsid w:val="00BE46D2"/>
    <w:rsid w:val="00BF1EFC"/>
    <w:rsid w:val="00BF3643"/>
    <w:rsid w:val="00BF4109"/>
    <w:rsid w:val="00BF4CC3"/>
    <w:rsid w:val="00C00DBA"/>
    <w:rsid w:val="00C04B81"/>
    <w:rsid w:val="00C054C7"/>
    <w:rsid w:val="00C057B5"/>
    <w:rsid w:val="00C06E15"/>
    <w:rsid w:val="00C1262B"/>
    <w:rsid w:val="00C1353E"/>
    <w:rsid w:val="00C1552F"/>
    <w:rsid w:val="00C15E39"/>
    <w:rsid w:val="00C20BE0"/>
    <w:rsid w:val="00C22687"/>
    <w:rsid w:val="00C24185"/>
    <w:rsid w:val="00C25051"/>
    <w:rsid w:val="00C26137"/>
    <w:rsid w:val="00C272BE"/>
    <w:rsid w:val="00C30DBB"/>
    <w:rsid w:val="00C32E4D"/>
    <w:rsid w:val="00C333A0"/>
    <w:rsid w:val="00C33BAA"/>
    <w:rsid w:val="00C34023"/>
    <w:rsid w:val="00C36221"/>
    <w:rsid w:val="00C36408"/>
    <w:rsid w:val="00C36A81"/>
    <w:rsid w:val="00C40A28"/>
    <w:rsid w:val="00C41974"/>
    <w:rsid w:val="00C4721A"/>
    <w:rsid w:val="00C501A9"/>
    <w:rsid w:val="00C53F4A"/>
    <w:rsid w:val="00C54125"/>
    <w:rsid w:val="00C55A0F"/>
    <w:rsid w:val="00C55B54"/>
    <w:rsid w:val="00C56C75"/>
    <w:rsid w:val="00C6098E"/>
    <w:rsid w:val="00C611D8"/>
    <w:rsid w:val="00C6152C"/>
    <w:rsid w:val="00C61748"/>
    <w:rsid w:val="00C61CBC"/>
    <w:rsid w:val="00C61DE6"/>
    <w:rsid w:val="00C63990"/>
    <w:rsid w:val="00C64EF6"/>
    <w:rsid w:val="00C65050"/>
    <w:rsid w:val="00C67E02"/>
    <w:rsid w:val="00C74810"/>
    <w:rsid w:val="00C82BC6"/>
    <w:rsid w:val="00C87825"/>
    <w:rsid w:val="00C90D68"/>
    <w:rsid w:val="00C91601"/>
    <w:rsid w:val="00C925EB"/>
    <w:rsid w:val="00C939FE"/>
    <w:rsid w:val="00CA4BDA"/>
    <w:rsid w:val="00CA6B50"/>
    <w:rsid w:val="00CB0D4B"/>
    <w:rsid w:val="00CB1F66"/>
    <w:rsid w:val="00CB2170"/>
    <w:rsid w:val="00CB2951"/>
    <w:rsid w:val="00CB2C9D"/>
    <w:rsid w:val="00CB3852"/>
    <w:rsid w:val="00CB5E4D"/>
    <w:rsid w:val="00CC3E8B"/>
    <w:rsid w:val="00CC3FE5"/>
    <w:rsid w:val="00CC5274"/>
    <w:rsid w:val="00CC5CA5"/>
    <w:rsid w:val="00CC71E6"/>
    <w:rsid w:val="00CD282B"/>
    <w:rsid w:val="00CD4C35"/>
    <w:rsid w:val="00CD5BEE"/>
    <w:rsid w:val="00CD60D9"/>
    <w:rsid w:val="00CD7369"/>
    <w:rsid w:val="00CE01FC"/>
    <w:rsid w:val="00CE0B0E"/>
    <w:rsid w:val="00CE261F"/>
    <w:rsid w:val="00CE2F71"/>
    <w:rsid w:val="00CE377F"/>
    <w:rsid w:val="00CE3831"/>
    <w:rsid w:val="00CE3893"/>
    <w:rsid w:val="00CE4C31"/>
    <w:rsid w:val="00CF06F7"/>
    <w:rsid w:val="00CF0B6E"/>
    <w:rsid w:val="00CF0DE2"/>
    <w:rsid w:val="00CF20AD"/>
    <w:rsid w:val="00CF2943"/>
    <w:rsid w:val="00CF4F2A"/>
    <w:rsid w:val="00D00ABB"/>
    <w:rsid w:val="00D02933"/>
    <w:rsid w:val="00D02B93"/>
    <w:rsid w:val="00D02EEC"/>
    <w:rsid w:val="00D03551"/>
    <w:rsid w:val="00D03D10"/>
    <w:rsid w:val="00D06A63"/>
    <w:rsid w:val="00D07E0E"/>
    <w:rsid w:val="00D1010E"/>
    <w:rsid w:val="00D11478"/>
    <w:rsid w:val="00D15DA4"/>
    <w:rsid w:val="00D15ED0"/>
    <w:rsid w:val="00D1681A"/>
    <w:rsid w:val="00D21B3E"/>
    <w:rsid w:val="00D21F33"/>
    <w:rsid w:val="00D21FED"/>
    <w:rsid w:val="00D22500"/>
    <w:rsid w:val="00D24251"/>
    <w:rsid w:val="00D24C70"/>
    <w:rsid w:val="00D250D7"/>
    <w:rsid w:val="00D3179B"/>
    <w:rsid w:val="00D33E6B"/>
    <w:rsid w:val="00D343E2"/>
    <w:rsid w:val="00D361A2"/>
    <w:rsid w:val="00D37C1F"/>
    <w:rsid w:val="00D417B9"/>
    <w:rsid w:val="00D42AFF"/>
    <w:rsid w:val="00D44C2E"/>
    <w:rsid w:val="00D45414"/>
    <w:rsid w:val="00D45736"/>
    <w:rsid w:val="00D463F5"/>
    <w:rsid w:val="00D46E9C"/>
    <w:rsid w:val="00D566BD"/>
    <w:rsid w:val="00D576CF"/>
    <w:rsid w:val="00D57A4D"/>
    <w:rsid w:val="00D60AA7"/>
    <w:rsid w:val="00D6389C"/>
    <w:rsid w:val="00D63A8F"/>
    <w:rsid w:val="00D6435F"/>
    <w:rsid w:val="00D71B07"/>
    <w:rsid w:val="00D74F1C"/>
    <w:rsid w:val="00D75BC2"/>
    <w:rsid w:val="00D75E28"/>
    <w:rsid w:val="00D769DE"/>
    <w:rsid w:val="00D772C2"/>
    <w:rsid w:val="00D8008E"/>
    <w:rsid w:val="00D82C45"/>
    <w:rsid w:val="00D86B1A"/>
    <w:rsid w:val="00D908A8"/>
    <w:rsid w:val="00D9418F"/>
    <w:rsid w:val="00D94548"/>
    <w:rsid w:val="00D95364"/>
    <w:rsid w:val="00D95D06"/>
    <w:rsid w:val="00D977B6"/>
    <w:rsid w:val="00DA0299"/>
    <w:rsid w:val="00DA1CC2"/>
    <w:rsid w:val="00DA4A31"/>
    <w:rsid w:val="00DA4D27"/>
    <w:rsid w:val="00DA6216"/>
    <w:rsid w:val="00DA7B04"/>
    <w:rsid w:val="00DB36C2"/>
    <w:rsid w:val="00DB7728"/>
    <w:rsid w:val="00DC169B"/>
    <w:rsid w:val="00DC2AB9"/>
    <w:rsid w:val="00DC3376"/>
    <w:rsid w:val="00DC63F0"/>
    <w:rsid w:val="00DD069B"/>
    <w:rsid w:val="00DD3007"/>
    <w:rsid w:val="00DD4AAB"/>
    <w:rsid w:val="00DD5146"/>
    <w:rsid w:val="00DD6EE5"/>
    <w:rsid w:val="00DE2CCF"/>
    <w:rsid w:val="00DE386C"/>
    <w:rsid w:val="00DE4D35"/>
    <w:rsid w:val="00DF098B"/>
    <w:rsid w:val="00DF11C4"/>
    <w:rsid w:val="00DF210C"/>
    <w:rsid w:val="00DF2884"/>
    <w:rsid w:val="00DF3CE5"/>
    <w:rsid w:val="00DF4B6A"/>
    <w:rsid w:val="00DF7B5B"/>
    <w:rsid w:val="00E00C30"/>
    <w:rsid w:val="00E016D8"/>
    <w:rsid w:val="00E01E65"/>
    <w:rsid w:val="00E02632"/>
    <w:rsid w:val="00E02C09"/>
    <w:rsid w:val="00E02E97"/>
    <w:rsid w:val="00E03629"/>
    <w:rsid w:val="00E04D59"/>
    <w:rsid w:val="00E07DA1"/>
    <w:rsid w:val="00E105AE"/>
    <w:rsid w:val="00E123CB"/>
    <w:rsid w:val="00E127B6"/>
    <w:rsid w:val="00E15E36"/>
    <w:rsid w:val="00E20E13"/>
    <w:rsid w:val="00E21DBC"/>
    <w:rsid w:val="00E235F1"/>
    <w:rsid w:val="00E26549"/>
    <w:rsid w:val="00E275D7"/>
    <w:rsid w:val="00E27DBE"/>
    <w:rsid w:val="00E3202B"/>
    <w:rsid w:val="00E32AB1"/>
    <w:rsid w:val="00E36C71"/>
    <w:rsid w:val="00E375BF"/>
    <w:rsid w:val="00E40404"/>
    <w:rsid w:val="00E40595"/>
    <w:rsid w:val="00E42C7F"/>
    <w:rsid w:val="00E432AA"/>
    <w:rsid w:val="00E4529A"/>
    <w:rsid w:val="00E459C6"/>
    <w:rsid w:val="00E46684"/>
    <w:rsid w:val="00E47589"/>
    <w:rsid w:val="00E50E7F"/>
    <w:rsid w:val="00E51B70"/>
    <w:rsid w:val="00E523D1"/>
    <w:rsid w:val="00E523D6"/>
    <w:rsid w:val="00E609D6"/>
    <w:rsid w:val="00E610DF"/>
    <w:rsid w:val="00E63877"/>
    <w:rsid w:val="00E645DA"/>
    <w:rsid w:val="00E64915"/>
    <w:rsid w:val="00E661D4"/>
    <w:rsid w:val="00E66DA7"/>
    <w:rsid w:val="00E70091"/>
    <w:rsid w:val="00E70904"/>
    <w:rsid w:val="00E720F5"/>
    <w:rsid w:val="00E74264"/>
    <w:rsid w:val="00E76004"/>
    <w:rsid w:val="00E76D47"/>
    <w:rsid w:val="00E77CB3"/>
    <w:rsid w:val="00E80440"/>
    <w:rsid w:val="00E82D64"/>
    <w:rsid w:val="00E8331B"/>
    <w:rsid w:val="00E83967"/>
    <w:rsid w:val="00E8437F"/>
    <w:rsid w:val="00E849F7"/>
    <w:rsid w:val="00E90302"/>
    <w:rsid w:val="00E9165D"/>
    <w:rsid w:val="00E91C2B"/>
    <w:rsid w:val="00E91D1F"/>
    <w:rsid w:val="00E92A74"/>
    <w:rsid w:val="00E97396"/>
    <w:rsid w:val="00EA185E"/>
    <w:rsid w:val="00EA1A9C"/>
    <w:rsid w:val="00EA592A"/>
    <w:rsid w:val="00EB0910"/>
    <w:rsid w:val="00EB0980"/>
    <w:rsid w:val="00EB14E4"/>
    <w:rsid w:val="00EB299B"/>
    <w:rsid w:val="00EB2AC3"/>
    <w:rsid w:val="00EB32A5"/>
    <w:rsid w:val="00EB34ED"/>
    <w:rsid w:val="00EB7BE0"/>
    <w:rsid w:val="00EB7E63"/>
    <w:rsid w:val="00EC0929"/>
    <w:rsid w:val="00EC24C7"/>
    <w:rsid w:val="00EC3064"/>
    <w:rsid w:val="00EC315E"/>
    <w:rsid w:val="00EC33DB"/>
    <w:rsid w:val="00EC4434"/>
    <w:rsid w:val="00EC7C33"/>
    <w:rsid w:val="00ED0212"/>
    <w:rsid w:val="00ED077C"/>
    <w:rsid w:val="00ED1190"/>
    <w:rsid w:val="00ED1921"/>
    <w:rsid w:val="00ED25EB"/>
    <w:rsid w:val="00ED2653"/>
    <w:rsid w:val="00ED2D41"/>
    <w:rsid w:val="00ED4CEA"/>
    <w:rsid w:val="00ED6544"/>
    <w:rsid w:val="00ED7D38"/>
    <w:rsid w:val="00EE0277"/>
    <w:rsid w:val="00EE3E00"/>
    <w:rsid w:val="00EE5844"/>
    <w:rsid w:val="00EE5DD2"/>
    <w:rsid w:val="00EE728C"/>
    <w:rsid w:val="00EF0A2E"/>
    <w:rsid w:val="00EF63C2"/>
    <w:rsid w:val="00EF7264"/>
    <w:rsid w:val="00EF736E"/>
    <w:rsid w:val="00F00A79"/>
    <w:rsid w:val="00F00E86"/>
    <w:rsid w:val="00F019E6"/>
    <w:rsid w:val="00F0487A"/>
    <w:rsid w:val="00F07C1E"/>
    <w:rsid w:val="00F07C79"/>
    <w:rsid w:val="00F105DB"/>
    <w:rsid w:val="00F10BC8"/>
    <w:rsid w:val="00F1122E"/>
    <w:rsid w:val="00F132BC"/>
    <w:rsid w:val="00F13D80"/>
    <w:rsid w:val="00F16970"/>
    <w:rsid w:val="00F16AAA"/>
    <w:rsid w:val="00F20264"/>
    <w:rsid w:val="00F21161"/>
    <w:rsid w:val="00F218EF"/>
    <w:rsid w:val="00F21BC7"/>
    <w:rsid w:val="00F266A2"/>
    <w:rsid w:val="00F32269"/>
    <w:rsid w:val="00F32330"/>
    <w:rsid w:val="00F3361B"/>
    <w:rsid w:val="00F4029A"/>
    <w:rsid w:val="00F4323E"/>
    <w:rsid w:val="00F4680F"/>
    <w:rsid w:val="00F4776C"/>
    <w:rsid w:val="00F5064B"/>
    <w:rsid w:val="00F50DAF"/>
    <w:rsid w:val="00F53063"/>
    <w:rsid w:val="00F54EAF"/>
    <w:rsid w:val="00F56A6F"/>
    <w:rsid w:val="00F5709C"/>
    <w:rsid w:val="00F60E22"/>
    <w:rsid w:val="00F646C8"/>
    <w:rsid w:val="00F64EF1"/>
    <w:rsid w:val="00F659AC"/>
    <w:rsid w:val="00F81227"/>
    <w:rsid w:val="00F8157E"/>
    <w:rsid w:val="00F85917"/>
    <w:rsid w:val="00F869EF"/>
    <w:rsid w:val="00F8765F"/>
    <w:rsid w:val="00F90767"/>
    <w:rsid w:val="00F90F26"/>
    <w:rsid w:val="00F9197B"/>
    <w:rsid w:val="00F97EB1"/>
    <w:rsid w:val="00FA1008"/>
    <w:rsid w:val="00FA14C8"/>
    <w:rsid w:val="00FA1C14"/>
    <w:rsid w:val="00FA29F8"/>
    <w:rsid w:val="00FA5FDF"/>
    <w:rsid w:val="00FA685B"/>
    <w:rsid w:val="00FB096B"/>
    <w:rsid w:val="00FB0C01"/>
    <w:rsid w:val="00FB2B45"/>
    <w:rsid w:val="00FB42F3"/>
    <w:rsid w:val="00FB66A6"/>
    <w:rsid w:val="00FC06C7"/>
    <w:rsid w:val="00FC18F2"/>
    <w:rsid w:val="00FC2E84"/>
    <w:rsid w:val="00FC39E5"/>
    <w:rsid w:val="00FC3A78"/>
    <w:rsid w:val="00FC3B21"/>
    <w:rsid w:val="00FC4FD9"/>
    <w:rsid w:val="00FC72D9"/>
    <w:rsid w:val="00FD0B63"/>
    <w:rsid w:val="00FD1005"/>
    <w:rsid w:val="00FD1D44"/>
    <w:rsid w:val="00FD3B8F"/>
    <w:rsid w:val="00FD3D9A"/>
    <w:rsid w:val="00FD4B4D"/>
    <w:rsid w:val="00FD4F8D"/>
    <w:rsid w:val="00FD6C75"/>
    <w:rsid w:val="00FD7C07"/>
    <w:rsid w:val="00FE03B4"/>
    <w:rsid w:val="00FE6ABD"/>
    <w:rsid w:val="00FE71B3"/>
    <w:rsid w:val="00FF245F"/>
    <w:rsid w:val="00FF42C5"/>
    <w:rsid w:val="00FF4B45"/>
    <w:rsid w:val="00FF4DD3"/>
    <w:rsid w:val="00FF6DB4"/>
    <w:rsid w:val="00FF7EE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emiHidden/>
    <w:rsid w:val="007F3E67"/>
    <w:pPr>
      <w:jc w:val="both"/>
    </w:pPr>
    <w:rPr>
      <w:rFonts w:eastAsiaTheme="minorEastAsia"/>
      <w:sz w:val="24"/>
      <w:lang w:val="en-GB"/>
    </w:rPr>
  </w:style>
  <w:style w:type="paragraph" w:styleId="Titolo1">
    <w:name w:val="heading 1"/>
    <w:basedOn w:val="Normale"/>
    <w:next w:val="Normale"/>
    <w:link w:val="Titolo1Carattere"/>
    <w:uiPriority w:val="99"/>
    <w:semiHidden/>
    <w:rsid w:val="007F3E67"/>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7F3E67"/>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7F3E67"/>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7F3E67"/>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7F3E67"/>
    <w:pPr>
      <w:spacing w:before="200"/>
      <w:outlineLvl w:val="4"/>
    </w:pPr>
    <w:rPr>
      <w:rFonts w:asciiTheme="majorHAnsi" w:eastAsiaTheme="majorEastAsia" w:hAnsiTheme="majorHAnsi" w:cstheme="majorBidi"/>
      <w:b/>
      <w:bCs/>
      <w:color w:val="808080"/>
      <w:sz w:val="22"/>
      <w:lang w:val="en-US"/>
    </w:rPr>
  </w:style>
  <w:style w:type="paragraph" w:styleId="Titolo6">
    <w:name w:val="heading 6"/>
    <w:basedOn w:val="Normale"/>
    <w:next w:val="Normale"/>
    <w:link w:val="Titolo6Carattere"/>
    <w:uiPriority w:val="99"/>
    <w:semiHidden/>
    <w:rsid w:val="007F3E67"/>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7F3E67"/>
    <w:pPr>
      <w:outlineLvl w:val="6"/>
    </w:pPr>
    <w:rPr>
      <w:rFonts w:asciiTheme="majorHAnsi" w:eastAsiaTheme="majorEastAsia" w:hAnsiTheme="majorHAnsi" w:cstheme="majorBidi"/>
      <w:i/>
      <w:iCs/>
      <w:sz w:val="22"/>
      <w:lang w:val="en-US" w:bidi="en-US"/>
    </w:rPr>
  </w:style>
  <w:style w:type="paragraph" w:styleId="Titolo8">
    <w:name w:val="heading 8"/>
    <w:basedOn w:val="Normale"/>
    <w:next w:val="Normale"/>
    <w:link w:val="Titolo8Carattere"/>
    <w:uiPriority w:val="99"/>
    <w:semiHidden/>
    <w:qFormat/>
    <w:rsid w:val="007F3E67"/>
    <w:pPr>
      <w:outlineLvl w:val="7"/>
    </w:pPr>
    <w:rPr>
      <w:rFonts w:asciiTheme="majorHAnsi" w:eastAsiaTheme="majorEastAsia" w:hAnsiTheme="majorHAnsi" w:cstheme="majorBidi"/>
      <w:sz w:val="20"/>
      <w:szCs w:val="20"/>
      <w:lang w:val="en-US" w:bidi="en-US"/>
    </w:rPr>
  </w:style>
  <w:style w:type="paragraph" w:styleId="Titolo9">
    <w:name w:val="heading 9"/>
    <w:basedOn w:val="Normale"/>
    <w:next w:val="Normale"/>
    <w:link w:val="Titolo9Carattere"/>
    <w:uiPriority w:val="99"/>
    <w:semiHidden/>
    <w:qFormat/>
    <w:rsid w:val="007F3E67"/>
    <w:pPr>
      <w:outlineLvl w:val="8"/>
    </w:pPr>
    <w:rPr>
      <w:rFonts w:asciiTheme="majorHAnsi" w:eastAsiaTheme="majorEastAsia" w:hAnsiTheme="majorHAnsi" w:cstheme="majorBidi"/>
      <w:i/>
      <w:iCs/>
      <w:spacing w:val="5"/>
      <w:sz w:val="20"/>
      <w:szCs w:val="20"/>
      <w:lang w:val="en-US"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7F3E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F3E67"/>
    <w:rPr>
      <w:rFonts w:ascii="Tahoma" w:eastAsiaTheme="minorEastAsia" w:hAnsi="Tahoma" w:cs="Tahoma"/>
      <w:sz w:val="16"/>
      <w:szCs w:val="16"/>
      <w:lang w:val="en-GB"/>
    </w:rPr>
  </w:style>
  <w:style w:type="character" w:styleId="Titolodellibro">
    <w:name w:val="Book Title"/>
    <w:uiPriority w:val="99"/>
    <w:semiHidden/>
    <w:qFormat/>
    <w:rsid w:val="007F3E67"/>
    <w:rPr>
      <w:i/>
      <w:iCs/>
      <w:smallCaps/>
      <w:spacing w:val="5"/>
    </w:rPr>
  </w:style>
  <w:style w:type="paragraph" w:customStyle="1" w:styleId="ECHRHeader">
    <w:name w:val="ECHR_Header"/>
    <w:aliases w:val="Ju_Header"/>
    <w:basedOn w:val="Intestazione"/>
    <w:uiPriority w:val="4"/>
    <w:qFormat/>
    <w:rsid w:val="007F3E67"/>
    <w:pPr>
      <w:tabs>
        <w:tab w:val="clear" w:pos="4536"/>
        <w:tab w:val="clear" w:pos="9072"/>
        <w:tab w:val="center" w:pos="3686"/>
        <w:tab w:val="right" w:pos="7371"/>
      </w:tabs>
      <w:jc w:val="left"/>
    </w:pPr>
    <w:rPr>
      <w:sz w:val="18"/>
    </w:rPr>
  </w:style>
  <w:style w:type="paragraph" w:customStyle="1" w:styleId="ECHRFooter">
    <w:name w:val="ECHR_Footer"/>
    <w:aliases w:val="Footer_ECHR"/>
    <w:basedOn w:val="Pidipagina"/>
    <w:uiPriority w:val="57"/>
    <w:semiHidden/>
    <w:rsid w:val="007F3E67"/>
    <w:pPr>
      <w:jc w:val="left"/>
    </w:pPr>
    <w:rPr>
      <w:sz w:val="8"/>
    </w:rPr>
  </w:style>
  <w:style w:type="character" w:styleId="Enfasigrassetto">
    <w:name w:val="Strong"/>
    <w:uiPriority w:val="99"/>
    <w:semiHidden/>
    <w:qFormat/>
    <w:rsid w:val="007F3E67"/>
    <w:rPr>
      <w:b/>
      <w:bCs/>
    </w:rPr>
  </w:style>
  <w:style w:type="paragraph" w:styleId="Nessunaspaziatura">
    <w:name w:val="No Spacing"/>
    <w:basedOn w:val="Normale"/>
    <w:link w:val="NessunaspaziaturaCarattere"/>
    <w:semiHidden/>
    <w:qFormat/>
    <w:rsid w:val="007F3E67"/>
    <w:rPr>
      <w:sz w:val="22"/>
      <w:lang w:val="en-US"/>
    </w:rPr>
  </w:style>
  <w:style w:type="character" w:customStyle="1" w:styleId="NessunaspaziaturaCarattere">
    <w:name w:val="Nessuna spaziatura Carattere"/>
    <w:basedOn w:val="Carpredefinitoparagrafo"/>
    <w:link w:val="Nessunaspaziatura"/>
    <w:semiHidden/>
    <w:rsid w:val="007F3E67"/>
    <w:rPr>
      <w:rFonts w:eastAsiaTheme="minorEastAsia"/>
    </w:rPr>
  </w:style>
  <w:style w:type="paragraph" w:customStyle="1" w:styleId="ECHRFooterLine">
    <w:name w:val="ECHR_Footer_Line"/>
    <w:aliases w:val="Footer_Line"/>
    <w:basedOn w:val="Normale"/>
    <w:next w:val="ECHRFooter"/>
    <w:uiPriority w:val="57"/>
    <w:semiHidden/>
    <w:rsid w:val="007F3E67"/>
    <w:pPr>
      <w:pBdr>
        <w:top w:val="single" w:sz="6" w:space="1" w:color="5F5F5F"/>
      </w:pBdr>
      <w:tabs>
        <w:tab w:val="center" w:pos="4536"/>
        <w:tab w:val="right" w:pos="9696"/>
      </w:tabs>
      <w:ind w:left="-680" w:right="-680"/>
      <w:jc w:val="left"/>
    </w:pPr>
    <w:rPr>
      <w:color w:val="5F5F5F"/>
    </w:rPr>
  </w:style>
  <w:style w:type="paragraph" w:customStyle="1" w:styleId="DecHTitle">
    <w:name w:val="Dec_H_Title"/>
    <w:basedOn w:val="ECHRTitleCentre1"/>
    <w:uiPriority w:val="7"/>
    <w:semiHidden/>
    <w:qFormat/>
    <w:rsid w:val="007F3E67"/>
  </w:style>
  <w:style w:type="paragraph" w:customStyle="1" w:styleId="DecList">
    <w:name w:val="Dec_List"/>
    <w:basedOn w:val="Normale"/>
    <w:uiPriority w:val="9"/>
    <w:semiHidden/>
    <w:qFormat/>
    <w:rsid w:val="007F3E67"/>
    <w:pPr>
      <w:spacing w:before="240"/>
      <w:ind w:left="284"/>
    </w:pPr>
  </w:style>
  <w:style w:type="paragraph" w:customStyle="1" w:styleId="DummyStyle">
    <w:name w:val="Dummy_Style"/>
    <w:basedOn w:val="Normale"/>
    <w:semiHidden/>
    <w:qFormat/>
    <w:rsid w:val="007F3E67"/>
    <w:rPr>
      <w:color w:val="00B050"/>
    </w:rPr>
  </w:style>
  <w:style w:type="paragraph" w:customStyle="1" w:styleId="ECHRTitleCentre3">
    <w:name w:val="ECHR_Title_Centre_3"/>
    <w:aliases w:val="Ju_H_Article"/>
    <w:basedOn w:val="Normale"/>
    <w:next w:val="ECHRParaQuote"/>
    <w:uiPriority w:val="27"/>
    <w:qFormat/>
    <w:rsid w:val="007F3E67"/>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e"/>
    <w:next w:val="OpiPara"/>
    <w:uiPriority w:val="39"/>
    <w:qFormat/>
    <w:rsid w:val="007F3E67"/>
    <w:pPr>
      <w:keepNext/>
      <w:keepLines/>
      <w:spacing w:after="240"/>
      <w:jc w:val="center"/>
      <w:outlineLvl w:val="0"/>
    </w:pPr>
    <w:rPr>
      <w:rFonts w:asciiTheme="majorHAnsi" w:hAnsiTheme="majorHAnsi"/>
      <w:sz w:val="28"/>
    </w:rPr>
  </w:style>
  <w:style w:type="paragraph" w:customStyle="1" w:styleId="JuAppQuestion">
    <w:name w:val="Ju_App_Question"/>
    <w:basedOn w:val="Normale"/>
    <w:uiPriority w:val="5"/>
    <w:semiHidden/>
    <w:qFormat/>
    <w:rsid w:val="007F3E67"/>
    <w:pPr>
      <w:numPr>
        <w:numId w:val="38"/>
      </w:numPr>
      <w:jc w:val="left"/>
    </w:pPr>
    <w:rPr>
      <w:b/>
    </w:rPr>
  </w:style>
  <w:style w:type="paragraph" w:customStyle="1" w:styleId="JuCourt">
    <w:name w:val="Ju_Court"/>
    <w:basedOn w:val="Normale"/>
    <w:next w:val="Normale"/>
    <w:uiPriority w:val="16"/>
    <w:qFormat/>
    <w:rsid w:val="007F3E67"/>
    <w:pPr>
      <w:tabs>
        <w:tab w:val="left" w:pos="907"/>
        <w:tab w:val="left" w:pos="1701"/>
        <w:tab w:val="right" w:pos="7371"/>
      </w:tabs>
      <w:spacing w:before="240"/>
      <w:ind w:left="397" w:hanging="397"/>
      <w:jc w:val="left"/>
    </w:pPr>
    <w:rPr>
      <w:lang w:bidi="en-US"/>
    </w:rPr>
  </w:style>
  <w:style w:type="paragraph" w:customStyle="1" w:styleId="JuHeaderLandscape">
    <w:name w:val="Ju_Header_Landscape"/>
    <w:basedOn w:val="ECHRHeader"/>
    <w:uiPriority w:val="4"/>
    <w:qFormat/>
    <w:rsid w:val="007F3E67"/>
    <w:pPr>
      <w:tabs>
        <w:tab w:val="clear" w:pos="3686"/>
        <w:tab w:val="clear" w:pos="7371"/>
        <w:tab w:val="center" w:pos="6146"/>
        <w:tab w:val="right" w:pos="12293"/>
      </w:tabs>
    </w:pPr>
  </w:style>
  <w:style w:type="paragraph" w:customStyle="1" w:styleId="ECHRTitleCentre2">
    <w:name w:val="ECHR_Title_Centre_2"/>
    <w:aliases w:val="Dec_H_Case"/>
    <w:basedOn w:val="Normale"/>
    <w:next w:val="ECHRPara"/>
    <w:uiPriority w:val="8"/>
    <w:qFormat/>
    <w:rsid w:val="007F3E67"/>
    <w:pPr>
      <w:spacing w:after="240"/>
      <w:jc w:val="center"/>
      <w:outlineLvl w:val="0"/>
    </w:pPr>
    <w:rPr>
      <w:rFonts w:asciiTheme="majorHAnsi" w:hAnsiTheme="majorHAnsi"/>
    </w:rPr>
  </w:style>
  <w:style w:type="paragraph" w:customStyle="1" w:styleId="JuTitle">
    <w:name w:val="Ju_Title"/>
    <w:basedOn w:val="Normale"/>
    <w:next w:val="ECHRPara"/>
    <w:link w:val="JuTitleChar"/>
    <w:uiPriority w:val="3"/>
    <w:qFormat/>
    <w:rsid w:val="007F3E67"/>
    <w:pPr>
      <w:spacing w:before="720" w:after="240"/>
      <w:jc w:val="center"/>
      <w:outlineLvl w:val="0"/>
    </w:pPr>
    <w:rPr>
      <w:rFonts w:asciiTheme="majorHAnsi" w:hAnsiTheme="majorHAnsi"/>
      <w:b/>
      <w:caps/>
    </w:rPr>
  </w:style>
  <w:style w:type="paragraph" w:styleId="Titolo">
    <w:name w:val="Title"/>
    <w:basedOn w:val="Normale"/>
    <w:next w:val="Normale"/>
    <w:link w:val="TitoloCarattere"/>
    <w:uiPriority w:val="99"/>
    <w:semiHidden/>
    <w:qFormat/>
    <w:rsid w:val="007F3E67"/>
    <w:pPr>
      <w:pBdr>
        <w:bottom w:val="single" w:sz="4" w:space="1" w:color="auto"/>
      </w:pBdr>
      <w:contextualSpacing/>
    </w:pPr>
    <w:rPr>
      <w:rFonts w:asciiTheme="majorHAnsi" w:eastAsiaTheme="majorEastAsia" w:hAnsiTheme="majorHAnsi" w:cstheme="majorBidi"/>
      <w:spacing w:val="5"/>
      <w:sz w:val="52"/>
      <w:szCs w:val="52"/>
      <w:lang w:val="en-US" w:bidi="en-US"/>
    </w:rPr>
  </w:style>
  <w:style w:type="character" w:customStyle="1" w:styleId="TitoloCarattere">
    <w:name w:val="Titolo Carattere"/>
    <w:basedOn w:val="Carpredefinitoparagrafo"/>
    <w:link w:val="Titolo"/>
    <w:uiPriority w:val="99"/>
    <w:semiHidden/>
    <w:rsid w:val="007F3E67"/>
    <w:rPr>
      <w:rFonts w:asciiTheme="majorHAnsi" w:eastAsiaTheme="majorEastAsia" w:hAnsiTheme="majorHAnsi" w:cstheme="majorBidi"/>
      <w:spacing w:val="5"/>
      <w:sz w:val="52"/>
      <w:szCs w:val="52"/>
      <w:lang w:bidi="en-US"/>
    </w:rPr>
  </w:style>
  <w:style w:type="paragraph" w:customStyle="1" w:styleId="ECHRHeading3">
    <w:name w:val="ECHR_Heading_3"/>
    <w:aliases w:val="Ju_H_1."/>
    <w:basedOn w:val="Titolo3"/>
    <w:next w:val="ECHRPara"/>
    <w:link w:val="JuH1Char"/>
    <w:uiPriority w:val="21"/>
    <w:qFormat/>
    <w:rsid w:val="007F3E67"/>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Titolo4"/>
    <w:next w:val="ECHRPara"/>
    <w:link w:val="JuHaChar"/>
    <w:uiPriority w:val="22"/>
    <w:qFormat/>
    <w:rsid w:val="007F3E67"/>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Titolo5"/>
    <w:next w:val="ECHRPara"/>
    <w:link w:val="JuHiChar"/>
    <w:uiPriority w:val="23"/>
    <w:qFormat/>
    <w:rsid w:val="007F3E67"/>
    <w:pPr>
      <w:keepNext/>
      <w:keepLines/>
      <w:tabs>
        <w:tab w:val="left" w:pos="1191"/>
      </w:tabs>
      <w:spacing w:before="240" w:after="120"/>
      <w:ind w:left="1190" w:hanging="357"/>
    </w:pPr>
    <w:rPr>
      <w:b w:val="0"/>
      <w:i/>
      <w:color w:val="auto"/>
      <w:sz w:val="20"/>
      <w:lang w:val="en-GB"/>
    </w:rPr>
  </w:style>
  <w:style w:type="paragraph" w:customStyle="1" w:styleId="ECHRHeading6">
    <w:name w:val="ECHR_Heading_6"/>
    <w:aliases w:val="Ju_H_alpha"/>
    <w:basedOn w:val="Titolo6"/>
    <w:next w:val="ECHRPara"/>
    <w:uiPriority w:val="24"/>
    <w:qFormat/>
    <w:rsid w:val="007F3E67"/>
    <w:pPr>
      <w:keepNext/>
      <w:keepLines/>
      <w:tabs>
        <w:tab w:val="left" w:pos="1372"/>
      </w:tabs>
      <w:spacing w:before="240" w:after="120" w:line="240" w:lineRule="auto"/>
      <w:ind w:left="1373" w:hanging="335"/>
    </w:pPr>
    <w:rPr>
      <w:b w:val="0"/>
      <w:i w:val="0"/>
      <w:color w:val="auto"/>
      <w:sz w:val="20"/>
    </w:rPr>
  </w:style>
  <w:style w:type="paragraph" w:customStyle="1" w:styleId="ECHRHeading7">
    <w:name w:val="ECHR_Heading_7"/>
    <w:aliases w:val="Ju_H_–"/>
    <w:basedOn w:val="Titolo7"/>
    <w:next w:val="ECHRPara"/>
    <w:uiPriority w:val="25"/>
    <w:qFormat/>
    <w:rsid w:val="007F3E67"/>
    <w:pPr>
      <w:keepNext/>
      <w:keepLines/>
      <w:spacing w:before="240" w:after="120"/>
      <w:ind w:left="1236"/>
    </w:pPr>
    <w:rPr>
      <w:sz w:val="20"/>
      <w:lang w:val="en-GB"/>
    </w:rPr>
  </w:style>
  <w:style w:type="paragraph" w:customStyle="1" w:styleId="JuInitialled">
    <w:name w:val="Ju_Initialled"/>
    <w:basedOn w:val="Normale"/>
    <w:uiPriority w:val="31"/>
    <w:qFormat/>
    <w:rsid w:val="007F3E67"/>
    <w:pPr>
      <w:tabs>
        <w:tab w:val="center" w:pos="6407"/>
      </w:tabs>
      <w:spacing w:before="720"/>
      <w:jc w:val="right"/>
    </w:pPr>
  </w:style>
  <w:style w:type="character" w:customStyle="1" w:styleId="JuITMark">
    <w:name w:val="Ju_ITMark"/>
    <w:basedOn w:val="Carpredefinitoparagrafo"/>
    <w:uiPriority w:val="38"/>
    <w:qFormat/>
    <w:rsid w:val="007F3E67"/>
    <w:rPr>
      <w:vanish w:val="0"/>
      <w:color w:val="auto"/>
      <w:sz w:val="14"/>
      <w:bdr w:val="none" w:sz="0" w:space="0" w:color="auto"/>
      <w:shd w:val="clear" w:color="auto" w:fill="BEE5FF" w:themeFill="background1" w:themeFillTint="33"/>
    </w:rPr>
  </w:style>
  <w:style w:type="character" w:customStyle="1" w:styleId="JUNAMES">
    <w:name w:val="JU_NAMES"/>
    <w:uiPriority w:val="17"/>
    <w:qFormat/>
    <w:rsid w:val="007F3E67"/>
    <w:rPr>
      <w:caps w:val="0"/>
      <w:smallCaps/>
    </w:rPr>
  </w:style>
  <w:style w:type="paragraph" w:styleId="Intestazione">
    <w:name w:val="header"/>
    <w:basedOn w:val="Normale"/>
    <w:link w:val="IntestazioneCarattere"/>
    <w:uiPriority w:val="57"/>
    <w:semiHidden/>
    <w:rsid w:val="007F3E67"/>
    <w:pPr>
      <w:tabs>
        <w:tab w:val="center" w:pos="4536"/>
        <w:tab w:val="right" w:pos="9072"/>
      </w:tabs>
    </w:pPr>
    <w:rPr>
      <w:rFonts w:eastAsiaTheme="minorHAnsi"/>
    </w:rPr>
  </w:style>
  <w:style w:type="character" w:customStyle="1" w:styleId="IntestazioneCarattere">
    <w:name w:val="Intestazione Carattere"/>
    <w:basedOn w:val="Carpredefinitoparagrafo"/>
    <w:link w:val="Intestazione"/>
    <w:uiPriority w:val="57"/>
    <w:semiHidden/>
    <w:rsid w:val="007F3E67"/>
    <w:rPr>
      <w:sz w:val="24"/>
      <w:lang w:val="en-GB"/>
    </w:rPr>
  </w:style>
  <w:style w:type="character" w:customStyle="1" w:styleId="Titolo1Carattere">
    <w:name w:val="Titolo 1 Carattere"/>
    <w:basedOn w:val="Carpredefinitoparagrafo"/>
    <w:link w:val="Titolo1"/>
    <w:uiPriority w:val="99"/>
    <w:semiHidden/>
    <w:rsid w:val="007F3E67"/>
    <w:rPr>
      <w:rFonts w:asciiTheme="majorHAnsi" w:eastAsiaTheme="majorEastAsia" w:hAnsiTheme="majorHAnsi" w:cstheme="majorBidi"/>
      <w:b/>
      <w:bCs/>
      <w:color w:val="333333"/>
      <w:sz w:val="28"/>
      <w:szCs w:val="28"/>
      <w:lang w:val="en-GB"/>
    </w:rPr>
  </w:style>
  <w:style w:type="paragraph" w:customStyle="1" w:styleId="ECHRHeading1">
    <w:name w:val="ECHR_Heading_1"/>
    <w:aliases w:val="Ju_H_I_Roman"/>
    <w:basedOn w:val="Titolo1"/>
    <w:next w:val="ECHRPara"/>
    <w:uiPriority w:val="19"/>
    <w:qFormat/>
    <w:rsid w:val="007F3E67"/>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Titolo2"/>
    <w:next w:val="ECHRPara"/>
    <w:link w:val="JuHAChar0"/>
    <w:uiPriority w:val="20"/>
    <w:qFormat/>
    <w:rsid w:val="007F3E67"/>
    <w:pPr>
      <w:keepNext/>
      <w:keepLines/>
      <w:tabs>
        <w:tab w:val="left" w:pos="584"/>
      </w:tabs>
      <w:spacing w:before="360" w:after="240"/>
      <w:ind w:left="584" w:hanging="352"/>
    </w:pPr>
    <w:rPr>
      <w:color w:val="auto"/>
      <w:sz w:val="24"/>
    </w:rPr>
  </w:style>
  <w:style w:type="character" w:customStyle="1" w:styleId="Titolo2Carattere">
    <w:name w:val="Titolo 2 Carattere"/>
    <w:basedOn w:val="Carpredefinitoparagrafo"/>
    <w:link w:val="Titolo2"/>
    <w:uiPriority w:val="99"/>
    <w:semiHidden/>
    <w:rsid w:val="007F3E67"/>
    <w:rPr>
      <w:rFonts w:asciiTheme="majorHAnsi" w:eastAsiaTheme="majorEastAsia" w:hAnsiTheme="majorHAnsi" w:cstheme="majorBidi"/>
      <w:b/>
      <w:bCs/>
      <w:color w:val="4D4D4D"/>
      <w:sz w:val="26"/>
      <w:szCs w:val="26"/>
      <w:lang w:val="en-GB"/>
    </w:rPr>
  </w:style>
  <w:style w:type="paragraph" w:customStyle="1" w:styleId="JuParaSub">
    <w:name w:val="Ju_Para_Sub"/>
    <w:basedOn w:val="ECHRPara"/>
    <w:uiPriority w:val="13"/>
    <w:qFormat/>
    <w:rsid w:val="007F3E67"/>
    <w:pPr>
      <w:ind w:left="284"/>
    </w:pPr>
  </w:style>
  <w:style w:type="paragraph" w:customStyle="1" w:styleId="ECHRDecisionBody">
    <w:name w:val="ECHR_Decision_Body"/>
    <w:aliases w:val="Ju_Judges"/>
    <w:basedOn w:val="Normale"/>
    <w:uiPriority w:val="11"/>
    <w:qFormat/>
    <w:rsid w:val="007F3E67"/>
    <w:pPr>
      <w:tabs>
        <w:tab w:val="left" w:pos="567"/>
        <w:tab w:val="left" w:pos="1134"/>
      </w:tabs>
      <w:jc w:val="left"/>
    </w:pPr>
  </w:style>
  <w:style w:type="character" w:customStyle="1" w:styleId="Titolo3Carattere">
    <w:name w:val="Titolo 3 Carattere"/>
    <w:basedOn w:val="Carpredefinitoparagrafo"/>
    <w:link w:val="Titolo3"/>
    <w:uiPriority w:val="99"/>
    <w:semiHidden/>
    <w:rsid w:val="007F3E67"/>
    <w:rPr>
      <w:rFonts w:asciiTheme="majorHAnsi" w:eastAsiaTheme="majorEastAsia" w:hAnsiTheme="majorHAnsi" w:cstheme="majorBidi"/>
      <w:b/>
      <w:bCs/>
      <w:color w:val="5F5F5F"/>
      <w:sz w:val="24"/>
      <w:lang w:val="en-GB"/>
    </w:rPr>
  </w:style>
  <w:style w:type="paragraph" w:customStyle="1" w:styleId="ECHRPara">
    <w:name w:val="ECHR_Para"/>
    <w:aliases w:val="Ju_Para"/>
    <w:basedOn w:val="Normale"/>
    <w:link w:val="ECHRParaChar"/>
    <w:uiPriority w:val="12"/>
    <w:qFormat/>
    <w:rsid w:val="007F3E67"/>
    <w:pPr>
      <w:ind w:firstLine="284"/>
    </w:pPr>
  </w:style>
  <w:style w:type="character" w:customStyle="1" w:styleId="Titolo4Carattere">
    <w:name w:val="Titolo 4 Carattere"/>
    <w:basedOn w:val="Carpredefinitoparagrafo"/>
    <w:link w:val="Titolo4"/>
    <w:uiPriority w:val="99"/>
    <w:semiHidden/>
    <w:rsid w:val="007F3E67"/>
    <w:rPr>
      <w:rFonts w:asciiTheme="majorHAnsi" w:eastAsiaTheme="majorEastAsia" w:hAnsiTheme="majorHAnsi" w:cstheme="majorBidi"/>
      <w:b/>
      <w:bCs/>
      <w:i/>
      <w:iCs/>
      <w:color w:val="777777"/>
      <w:sz w:val="24"/>
      <w:lang w:val="en-GB"/>
    </w:rPr>
  </w:style>
  <w:style w:type="character" w:customStyle="1" w:styleId="Titolo5Carattere">
    <w:name w:val="Titolo 5 Carattere"/>
    <w:basedOn w:val="Carpredefinitoparagrafo"/>
    <w:link w:val="Titolo5"/>
    <w:uiPriority w:val="99"/>
    <w:semiHidden/>
    <w:rsid w:val="007F3E67"/>
    <w:rPr>
      <w:rFonts w:asciiTheme="majorHAnsi" w:eastAsiaTheme="majorEastAsia" w:hAnsiTheme="majorHAnsi" w:cstheme="majorBidi"/>
      <w:b/>
      <w:bCs/>
      <w:color w:val="808080"/>
    </w:rPr>
  </w:style>
  <w:style w:type="character" w:styleId="Enfasidelicata">
    <w:name w:val="Subtle Emphasis"/>
    <w:uiPriority w:val="99"/>
    <w:semiHidden/>
    <w:qFormat/>
    <w:rsid w:val="007F3E67"/>
    <w:rPr>
      <w:i/>
      <w:iCs/>
    </w:rPr>
  </w:style>
  <w:style w:type="table" w:customStyle="1" w:styleId="ECHRTable">
    <w:name w:val="ECHR_Table"/>
    <w:basedOn w:val="Tabellanormale"/>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
    <w:basedOn w:val="Normale"/>
    <w:next w:val="ECHRPara"/>
    <w:uiPriority w:val="18"/>
    <w:qFormat/>
    <w:rsid w:val="007F3E67"/>
    <w:pPr>
      <w:keepNext/>
      <w:keepLines/>
      <w:spacing w:before="720" w:after="240"/>
      <w:outlineLvl w:val="0"/>
    </w:pPr>
    <w:rPr>
      <w:rFonts w:asciiTheme="majorHAnsi" w:hAnsiTheme="majorHAnsi"/>
      <w:sz w:val="28"/>
    </w:rPr>
  </w:style>
  <w:style w:type="character" w:styleId="Enfasicorsivo">
    <w:name w:val="Emphasis"/>
    <w:uiPriority w:val="99"/>
    <w:semiHidden/>
    <w:qFormat/>
    <w:rsid w:val="007F3E67"/>
    <w:rPr>
      <w:b/>
      <w:bCs/>
      <w:i/>
      <w:iCs/>
      <w:spacing w:val="10"/>
      <w:bdr w:val="none" w:sz="0" w:space="0" w:color="auto"/>
      <w:shd w:val="clear" w:color="auto" w:fill="auto"/>
    </w:rPr>
  </w:style>
  <w:style w:type="paragraph" w:styleId="Pidipagina">
    <w:name w:val="footer"/>
    <w:basedOn w:val="Normale"/>
    <w:link w:val="PidipaginaCarattere"/>
    <w:uiPriority w:val="57"/>
    <w:semiHidden/>
    <w:rsid w:val="007F3E67"/>
    <w:pPr>
      <w:tabs>
        <w:tab w:val="center" w:pos="4536"/>
        <w:tab w:val="right" w:pos="9696"/>
      </w:tabs>
      <w:ind w:left="-680" w:right="-680"/>
    </w:pPr>
    <w:rPr>
      <w:rFonts w:eastAsiaTheme="minorHAnsi"/>
    </w:rPr>
  </w:style>
  <w:style w:type="character" w:customStyle="1" w:styleId="PidipaginaCarattere">
    <w:name w:val="Piè di pagina Carattere"/>
    <w:basedOn w:val="Carpredefinitoparagrafo"/>
    <w:link w:val="Pidipagina"/>
    <w:uiPriority w:val="57"/>
    <w:semiHidden/>
    <w:rsid w:val="007F3E67"/>
    <w:rPr>
      <w:sz w:val="24"/>
      <w:lang w:val="en-GB"/>
    </w:rPr>
  </w:style>
  <w:style w:type="character" w:styleId="Rimandonotaapidipagina">
    <w:name w:val="footnote reference"/>
    <w:basedOn w:val="Carpredefinitoparagrafo"/>
    <w:uiPriority w:val="99"/>
    <w:semiHidden/>
    <w:rsid w:val="007F3E67"/>
    <w:rPr>
      <w:vertAlign w:val="superscript"/>
    </w:rPr>
  </w:style>
  <w:style w:type="paragraph" w:styleId="Testonotaapidipagina">
    <w:name w:val="footnote text"/>
    <w:basedOn w:val="Normale"/>
    <w:link w:val="TestonotaapidipaginaCarattere"/>
    <w:uiPriority w:val="99"/>
    <w:semiHidden/>
    <w:rsid w:val="007F3E67"/>
    <w:rPr>
      <w:sz w:val="20"/>
      <w:szCs w:val="20"/>
    </w:rPr>
  </w:style>
  <w:style w:type="character" w:customStyle="1" w:styleId="TestonotaapidipaginaCarattere">
    <w:name w:val="Testo nota a piè di pagina Carattere"/>
    <w:basedOn w:val="Carpredefinitoparagrafo"/>
    <w:link w:val="Testonotaapidipagina"/>
    <w:uiPriority w:val="99"/>
    <w:semiHidden/>
    <w:rsid w:val="007F3E67"/>
    <w:rPr>
      <w:rFonts w:eastAsiaTheme="minorEastAsia"/>
      <w:sz w:val="20"/>
      <w:szCs w:val="20"/>
      <w:lang w:val="en-GB"/>
    </w:rPr>
  </w:style>
  <w:style w:type="character" w:customStyle="1" w:styleId="Titolo6Carattere">
    <w:name w:val="Titolo 6 Carattere"/>
    <w:basedOn w:val="Carpredefinitoparagrafo"/>
    <w:link w:val="Titolo6"/>
    <w:uiPriority w:val="99"/>
    <w:semiHidden/>
    <w:rsid w:val="007F3E67"/>
    <w:rPr>
      <w:rFonts w:asciiTheme="majorHAnsi" w:eastAsiaTheme="majorEastAsia" w:hAnsiTheme="majorHAnsi" w:cstheme="majorBidi"/>
      <w:b/>
      <w:bCs/>
      <w:i/>
      <w:iCs/>
      <w:color w:val="7F7F7F" w:themeColor="text1" w:themeTint="80"/>
      <w:sz w:val="24"/>
      <w:lang w:val="en-GB" w:bidi="en-US"/>
    </w:rPr>
  </w:style>
  <w:style w:type="character" w:customStyle="1" w:styleId="Titolo7Carattere">
    <w:name w:val="Titolo 7 Carattere"/>
    <w:basedOn w:val="Carpredefinitoparagrafo"/>
    <w:link w:val="Titolo7"/>
    <w:uiPriority w:val="99"/>
    <w:semiHidden/>
    <w:rsid w:val="007F3E67"/>
    <w:rPr>
      <w:rFonts w:asciiTheme="majorHAnsi" w:eastAsiaTheme="majorEastAsia" w:hAnsiTheme="majorHAnsi" w:cstheme="majorBidi"/>
      <w:i/>
      <w:iCs/>
      <w:lang w:bidi="en-US"/>
    </w:rPr>
  </w:style>
  <w:style w:type="character" w:customStyle="1" w:styleId="Titolo8Carattere">
    <w:name w:val="Titolo 8 Carattere"/>
    <w:basedOn w:val="Carpredefinitoparagrafo"/>
    <w:link w:val="Titolo8"/>
    <w:uiPriority w:val="99"/>
    <w:semiHidden/>
    <w:rsid w:val="007F3E67"/>
    <w:rPr>
      <w:rFonts w:asciiTheme="majorHAnsi" w:eastAsiaTheme="majorEastAsia" w:hAnsiTheme="majorHAnsi" w:cstheme="majorBidi"/>
      <w:sz w:val="20"/>
      <w:szCs w:val="20"/>
      <w:lang w:bidi="en-US"/>
    </w:rPr>
  </w:style>
  <w:style w:type="character" w:customStyle="1" w:styleId="Titolo9Carattere">
    <w:name w:val="Titolo 9 Carattere"/>
    <w:basedOn w:val="Carpredefinitoparagrafo"/>
    <w:link w:val="Titolo9"/>
    <w:uiPriority w:val="99"/>
    <w:semiHidden/>
    <w:rsid w:val="007F3E67"/>
    <w:rPr>
      <w:rFonts w:asciiTheme="majorHAnsi" w:eastAsiaTheme="majorEastAsia" w:hAnsiTheme="majorHAnsi" w:cstheme="majorBidi"/>
      <w:i/>
      <w:iCs/>
      <w:spacing w:val="5"/>
      <w:sz w:val="20"/>
      <w:szCs w:val="20"/>
      <w:lang w:bidi="en-US"/>
    </w:rPr>
  </w:style>
  <w:style w:type="character" w:styleId="Collegamentoipertestuale">
    <w:name w:val="Hyperlink"/>
    <w:basedOn w:val="Carpredefinitoparagrafo"/>
    <w:uiPriority w:val="99"/>
    <w:semiHidden/>
    <w:rsid w:val="007F3E67"/>
    <w:rPr>
      <w:color w:val="0072BC" w:themeColor="hyperlink"/>
      <w:u w:val="single"/>
    </w:rPr>
  </w:style>
  <w:style w:type="character" w:styleId="Enfasiintensa">
    <w:name w:val="Intense Emphasis"/>
    <w:uiPriority w:val="99"/>
    <w:semiHidden/>
    <w:qFormat/>
    <w:rsid w:val="007F3E67"/>
    <w:rPr>
      <w:b/>
      <w:bCs/>
    </w:rPr>
  </w:style>
  <w:style w:type="paragraph" w:styleId="Citazioneintensa">
    <w:name w:val="Intense Quote"/>
    <w:basedOn w:val="Normale"/>
    <w:next w:val="Normale"/>
    <w:link w:val="CitazioneintensaCarattere"/>
    <w:uiPriority w:val="99"/>
    <w:semiHidden/>
    <w:qFormat/>
    <w:rsid w:val="007F3E67"/>
    <w:pPr>
      <w:pBdr>
        <w:bottom w:val="single" w:sz="4" w:space="1" w:color="auto"/>
      </w:pBdr>
      <w:spacing w:before="200" w:after="280"/>
      <w:ind w:left="1008" w:right="1152"/>
    </w:pPr>
    <w:rPr>
      <w:b/>
      <w:bCs/>
      <w:i/>
      <w:iCs/>
      <w:sz w:val="22"/>
      <w:lang w:val="en-US" w:bidi="en-US"/>
    </w:rPr>
  </w:style>
  <w:style w:type="character" w:customStyle="1" w:styleId="CitazioneintensaCarattere">
    <w:name w:val="Citazione intensa Carattere"/>
    <w:basedOn w:val="Carpredefinitoparagrafo"/>
    <w:link w:val="Citazioneintensa"/>
    <w:uiPriority w:val="99"/>
    <w:semiHidden/>
    <w:rsid w:val="007F3E67"/>
    <w:rPr>
      <w:rFonts w:eastAsiaTheme="minorEastAsia"/>
      <w:b/>
      <w:bCs/>
      <w:i/>
      <w:iCs/>
      <w:lang w:bidi="en-US"/>
    </w:rPr>
  </w:style>
  <w:style w:type="character" w:styleId="Riferimentointenso">
    <w:name w:val="Intense Reference"/>
    <w:uiPriority w:val="99"/>
    <w:semiHidden/>
    <w:qFormat/>
    <w:rsid w:val="007F3E67"/>
    <w:rPr>
      <w:smallCaps/>
      <w:spacing w:val="5"/>
      <w:u w:val="single"/>
    </w:rPr>
  </w:style>
  <w:style w:type="paragraph" w:styleId="Paragrafoelenco">
    <w:name w:val="List Paragraph"/>
    <w:basedOn w:val="Normale"/>
    <w:uiPriority w:val="99"/>
    <w:semiHidden/>
    <w:qFormat/>
    <w:rsid w:val="007F3E67"/>
    <w:pPr>
      <w:ind w:left="720"/>
      <w:contextualSpacing/>
    </w:pPr>
  </w:style>
  <w:style w:type="table" w:customStyle="1" w:styleId="LtrTableAddress">
    <w:name w:val="Ltr_Table_Address"/>
    <w:basedOn w:val="Tabellanormale"/>
    <w:uiPriority w:val="99"/>
    <w:rsid w:val="001E6F32"/>
    <w:tblPr>
      <w:tblInd w:w="5103" w:type="dxa"/>
    </w:tblPr>
  </w:style>
  <w:style w:type="paragraph" w:styleId="Citazione">
    <w:name w:val="Quote"/>
    <w:basedOn w:val="Normale"/>
    <w:next w:val="Normale"/>
    <w:link w:val="CitazioneCarattere"/>
    <w:uiPriority w:val="99"/>
    <w:semiHidden/>
    <w:qFormat/>
    <w:rsid w:val="007F3E67"/>
    <w:pPr>
      <w:spacing w:before="200"/>
      <w:ind w:left="360" w:right="360"/>
    </w:pPr>
    <w:rPr>
      <w:i/>
      <w:iCs/>
      <w:sz w:val="22"/>
      <w:lang w:val="en-US" w:bidi="en-US"/>
    </w:rPr>
  </w:style>
  <w:style w:type="character" w:customStyle="1" w:styleId="CitazioneCarattere">
    <w:name w:val="Citazione Carattere"/>
    <w:basedOn w:val="Carpredefinitoparagrafo"/>
    <w:link w:val="Citazione"/>
    <w:uiPriority w:val="99"/>
    <w:semiHidden/>
    <w:rsid w:val="007F3E67"/>
    <w:rPr>
      <w:rFonts w:eastAsiaTheme="minorEastAsia"/>
      <w:i/>
      <w:iCs/>
      <w:lang w:bidi="en-US"/>
    </w:rPr>
  </w:style>
  <w:style w:type="character" w:styleId="Riferimentodelicato">
    <w:name w:val="Subtle Reference"/>
    <w:uiPriority w:val="99"/>
    <w:semiHidden/>
    <w:qFormat/>
    <w:rsid w:val="007F3E67"/>
    <w:rPr>
      <w:smallCaps/>
    </w:rPr>
  </w:style>
  <w:style w:type="table" w:styleId="Grigliatabella">
    <w:name w:val="Table Grid"/>
    <w:basedOn w:val="Tabellanormale"/>
    <w:uiPriority w:val="59"/>
    <w:semiHidden/>
    <w:rsid w:val="007F3E67"/>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9"/>
    <w:semiHidden/>
    <w:rsid w:val="007F3E67"/>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9"/>
    <w:semiHidden/>
    <w:rsid w:val="007F3E67"/>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9"/>
    <w:semiHidden/>
    <w:rsid w:val="007F3E67"/>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9"/>
    <w:semiHidden/>
    <w:rsid w:val="007F3E67"/>
    <w:pPr>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9"/>
    <w:semiHidden/>
    <w:rsid w:val="007F3E67"/>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9"/>
    <w:semiHidden/>
    <w:qFormat/>
    <w:rsid w:val="007F3E67"/>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ellanormale"/>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ellanormale"/>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ellanormale"/>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ellanormale"/>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9"/>
    <w:semiHidden/>
    <w:rsid w:val="007F3E67"/>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customStyle="1" w:styleId="ECHRParaQuote">
    <w:name w:val="ECHR_Para_Quote"/>
    <w:aliases w:val="Ju_Quot"/>
    <w:basedOn w:val="Normale"/>
    <w:link w:val="JuQuotChar"/>
    <w:uiPriority w:val="14"/>
    <w:qFormat/>
    <w:rsid w:val="007F3E67"/>
    <w:pPr>
      <w:spacing w:before="120" w:after="120"/>
      <w:ind w:left="425" w:firstLine="142"/>
    </w:pPr>
    <w:rPr>
      <w:sz w:val="20"/>
    </w:rPr>
  </w:style>
  <w:style w:type="table" w:customStyle="1" w:styleId="ECHRTableSimpleBox">
    <w:name w:val="ECHR_Table_Simple_Box"/>
    <w:basedOn w:val="Tabellanormale"/>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Tabellanormale"/>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7F3E67"/>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Tabellanormale"/>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Tabellanormale"/>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table" w:customStyle="1" w:styleId="ECHRHeaderTableReduced">
    <w:name w:val="ECHR_Header_Table_Reduced"/>
    <w:basedOn w:val="Tabellanormale"/>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Signed">
    <w:name w:val="Ju_Signed"/>
    <w:basedOn w:val="Normale"/>
    <w:next w:val="JuParaLast"/>
    <w:uiPriority w:val="32"/>
    <w:qFormat/>
    <w:rsid w:val="007F3E67"/>
    <w:pPr>
      <w:tabs>
        <w:tab w:val="center" w:pos="851"/>
        <w:tab w:val="center" w:pos="6407"/>
      </w:tabs>
      <w:spacing w:before="720"/>
      <w:jc w:val="left"/>
    </w:pPr>
  </w:style>
  <w:style w:type="paragraph" w:customStyle="1" w:styleId="JuParaLast">
    <w:name w:val="Ju_Para_Last"/>
    <w:basedOn w:val="Normale"/>
    <w:next w:val="ECHRPara"/>
    <w:link w:val="JuParaLastChar"/>
    <w:uiPriority w:val="30"/>
    <w:qFormat/>
    <w:rsid w:val="007F3E67"/>
    <w:pPr>
      <w:keepNext/>
      <w:keepLines/>
      <w:spacing w:before="240"/>
      <w:ind w:firstLine="284"/>
    </w:pPr>
  </w:style>
  <w:style w:type="paragraph" w:customStyle="1" w:styleId="JuCase">
    <w:name w:val="Ju_Case"/>
    <w:basedOn w:val="Normale"/>
    <w:next w:val="ECHRPara"/>
    <w:uiPriority w:val="10"/>
    <w:rsid w:val="007F3E67"/>
    <w:pPr>
      <w:ind w:firstLine="284"/>
    </w:pPr>
    <w:rPr>
      <w:b/>
    </w:rPr>
  </w:style>
  <w:style w:type="paragraph" w:customStyle="1" w:styleId="JuList">
    <w:name w:val="Ju_List"/>
    <w:basedOn w:val="Normale"/>
    <w:uiPriority w:val="28"/>
    <w:qFormat/>
    <w:rsid w:val="007F3E67"/>
    <w:pPr>
      <w:ind w:left="340" w:hanging="340"/>
    </w:pPr>
  </w:style>
  <w:style w:type="paragraph" w:customStyle="1" w:styleId="JuQuotSub">
    <w:name w:val="Ju_Quot_Sub"/>
    <w:basedOn w:val="ECHRParaQuote"/>
    <w:uiPriority w:val="15"/>
    <w:qFormat/>
    <w:rsid w:val="007F3E67"/>
    <w:pPr>
      <w:ind w:left="567"/>
    </w:pPr>
  </w:style>
  <w:style w:type="character" w:styleId="Numeropagina">
    <w:name w:val="page number"/>
    <w:semiHidden/>
    <w:rsid w:val="00E77CB3"/>
    <w:rPr>
      <w:rFonts w:ascii="Times New Roman" w:hAnsi="Times New Roman" w:cs="Times New Roman"/>
      <w:sz w:val="18"/>
    </w:rPr>
  </w:style>
  <w:style w:type="paragraph" w:customStyle="1" w:styleId="JuLista">
    <w:name w:val="Ju_List_a"/>
    <w:basedOn w:val="JuList"/>
    <w:uiPriority w:val="28"/>
    <w:qFormat/>
    <w:rsid w:val="007F3E67"/>
    <w:pPr>
      <w:ind w:left="346" w:firstLine="0"/>
    </w:pPr>
  </w:style>
  <w:style w:type="paragraph" w:customStyle="1" w:styleId="JuListi">
    <w:name w:val="Ju_List_i"/>
    <w:basedOn w:val="Normale"/>
    <w:next w:val="JuLista"/>
    <w:uiPriority w:val="28"/>
    <w:qFormat/>
    <w:rsid w:val="007F3E67"/>
    <w:pPr>
      <w:ind w:left="794"/>
    </w:pPr>
  </w:style>
  <w:style w:type="character" w:styleId="Rimandocommento">
    <w:name w:val="annotation reference"/>
    <w:uiPriority w:val="99"/>
    <w:semiHidden/>
    <w:rsid w:val="00E77CB3"/>
    <w:rPr>
      <w:sz w:val="16"/>
    </w:rPr>
  </w:style>
  <w:style w:type="paragraph" w:styleId="Testocommento">
    <w:name w:val="annotation text"/>
    <w:basedOn w:val="Normale"/>
    <w:link w:val="TestocommentoCarattere"/>
    <w:uiPriority w:val="99"/>
    <w:semiHidden/>
    <w:rsid w:val="00E77CB3"/>
    <w:rPr>
      <w:sz w:val="20"/>
    </w:rPr>
  </w:style>
  <w:style w:type="character" w:customStyle="1" w:styleId="TestocommentoCarattere">
    <w:name w:val="Testo commento Carattere"/>
    <w:basedOn w:val="Carpredefinitoparagrafo"/>
    <w:link w:val="Testocommento"/>
    <w:uiPriority w:val="99"/>
    <w:semiHidden/>
    <w:rsid w:val="00E77CB3"/>
    <w:rPr>
      <w:rFonts w:eastAsiaTheme="minorEastAsia"/>
      <w:sz w:val="20"/>
    </w:rPr>
  </w:style>
  <w:style w:type="character" w:styleId="Rimandonotadichiusura">
    <w:name w:val="endnote reference"/>
    <w:basedOn w:val="Carpredefinitoparagrafo"/>
    <w:uiPriority w:val="99"/>
    <w:semiHidden/>
    <w:rsid w:val="007F3E67"/>
    <w:rPr>
      <w:vertAlign w:val="superscript"/>
    </w:rPr>
  </w:style>
  <w:style w:type="paragraph" w:styleId="Testonotadichiusura">
    <w:name w:val="endnote text"/>
    <w:basedOn w:val="Normale"/>
    <w:link w:val="TestonotadichiusuraCarattere"/>
    <w:uiPriority w:val="99"/>
    <w:semiHidden/>
    <w:rsid w:val="007F3E67"/>
    <w:rPr>
      <w:sz w:val="20"/>
      <w:szCs w:val="20"/>
    </w:rPr>
  </w:style>
  <w:style w:type="character" w:customStyle="1" w:styleId="TestonotadichiusuraCarattere">
    <w:name w:val="Testo nota di chiusura Carattere"/>
    <w:basedOn w:val="Carpredefinitoparagrafo"/>
    <w:link w:val="Testonotadichiusura"/>
    <w:uiPriority w:val="99"/>
    <w:semiHidden/>
    <w:rsid w:val="007F3E67"/>
    <w:rPr>
      <w:rFonts w:eastAsiaTheme="minorEastAsia"/>
      <w:sz w:val="20"/>
      <w:szCs w:val="20"/>
      <w:lang w:val="en-GB"/>
    </w:rPr>
  </w:style>
  <w:style w:type="character" w:styleId="Collegamentovisitato">
    <w:name w:val="FollowedHyperlink"/>
    <w:uiPriority w:val="99"/>
    <w:semiHidden/>
    <w:rsid w:val="00E77CB3"/>
    <w:rPr>
      <w:rFonts w:ascii="Times New Roman" w:hAnsi="Times New Roman" w:cs="Times New Roman"/>
      <w:color w:val="800080"/>
      <w:u w:val="single"/>
    </w:rPr>
  </w:style>
  <w:style w:type="paragraph" w:styleId="Puntoelenco">
    <w:name w:val="List Bullet"/>
    <w:basedOn w:val="Normale"/>
    <w:uiPriority w:val="99"/>
    <w:semiHidden/>
    <w:rsid w:val="00E77CB3"/>
    <w:pPr>
      <w:numPr>
        <w:numId w:val="1"/>
      </w:numPr>
    </w:pPr>
  </w:style>
  <w:style w:type="paragraph" w:customStyle="1" w:styleId="OpiH1">
    <w:name w:val="Opi_H_1"/>
    <w:basedOn w:val="ECHRHeading2"/>
    <w:uiPriority w:val="42"/>
    <w:qFormat/>
    <w:rsid w:val="007F3E67"/>
    <w:pPr>
      <w:ind w:left="635" w:hanging="357"/>
      <w:outlineLvl w:val="2"/>
    </w:pPr>
  </w:style>
  <w:style w:type="paragraph" w:styleId="Soggettocommento">
    <w:name w:val="annotation subject"/>
    <w:basedOn w:val="Testocommento"/>
    <w:next w:val="Testocommento"/>
    <w:link w:val="SoggettocommentoCarattere"/>
    <w:uiPriority w:val="99"/>
    <w:semiHidden/>
    <w:rsid w:val="00E77CB3"/>
    <w:rPr>
      <w:b/>
      <w:bCs/>
    </w:rPr>
  </w:style>
  <w:style w:type="character" w:customStyle="1" w:styleId="SoggettocommentoCarattere">
    <w:name w:val="Soggetto commento Carattere"/>
    <w:basedOn w:val="TestocommentoCarattere"/>
    <w:link w:val="Soggettocommento"/>
    <w:uiPriority w:val="99"/>
    <w:semiHidden/>
    <w:rsid w:val="00E77CB3"/>
    <w:rPr>
      <w:rFonts w:eastAsiaTheme="minorEastAsia"/>
      <w:b/>
      <w:bCs/>
      <w:sz w:val="20"/>
    </w:rPr>
  </w:style>
  <w:style w:type="paragraph" w:styleId="Mappadocumento">
    <w:name w:val="Document Map"/>
    <w:basedOn w:val="Normale"/>
    <w:link w:val="MappadocumentoCarattere"/>
    <w:uiPriority w:val="99"/>
    <w:semiHidden/>
    <w:rsid w:val="00E77CB3"/>
    <w:pPr>
      <w:shd w:val="clear" w:color="auto" w:fill="000080"/>
    </w:pPr>
    <w:rPr>
      <w:rFonts w:ascii="Tahoma" w:hAnsi="Tahoma" w:cs="Tahoma"/>
      <w:sz w:val="20"/>
    </w:rPr>
  </w:style>
  <w:style w:type="character" w:customStyle="1" w:styleId="MappadocumentoCarattere">
    <w:name w:val="Mappa documento Carattere"/>
    <w:basedOn w:val="Carpredefinitoparagrafo"/>
    <w:link w:val="Mappadocumento"/>
    <w:uiPriority w:val="99"/>
    <w:semiHidden/>
    <w:rsid w:val="00E77CB3"/>
    <w:rPr>
      <w:rFonts w:ascii="Tahoma" w:eastAsiaTheme="minorEastAsia" w:hAnsi="Tahoma" w:cs="Tahoma"/>
      <w:sz w:val="20"/>
      <w:shd w:val="clear" w:color="auto" w:fill="000080"/>
    </w:rPr>
  </w:style>
  <w:style w:type="paragraph" w:customStyle="1" w:styleId="OpiHa">
    <w:name w:val="Opi_H_a"/>
    <w:basedOn w:val="ECHRHeading3"/>
    <w:uiPriority w:val="43"/>
    <w:qFormat/>
    <w:rsid w:val="007F3E67"/>
    <w:pPr>
      <w:ind w:left="833" w:hanging="357"/>
      <w:outlineLvl w:val="3"/>
    </w:pPr>
    <w:rPr>
      <w:b/>
      <w:i w:val="0"/>
      <w:sz w:val="20"/>
    </w:rPr>
  </w:style>
  <w:style w:type="paragraph" w:styleId="Sottotitolo">
    <w:name w:val="Subtitle"/>
    <w:basedOn w:val="Normale"/>
    <w:next w:val="Normale"/>
    <w:link w:val="SottotitoloCarattere"/>
    <w:uiPriority w:val="99"/>
    <w:semiHidden/>
    <w:qFormat/>
    <w:rsid w:val="007F3E67"/>
    <w:pPr>
      <w:spacing w:after="600"/>
    </w:pPr>
    <w:rPr>
      <w:rFonts w:asciiTheme="majorHAnsi" w:eastAsiaTheme="majorEastAsia" w:hAnsiTheme="majorHAnsi" w:cstheme="majorBidi"/>
      <w:i/>
      <w:iCs/>
      <w:spacing w:val="13"/>
      <w:szCs w:val="24"/>
      <w:lang w:val="en-US" w:bidi="en-US"/>
    </w:rPr>
  </w:style>
  <w:style w:type="character" w:customStyle="1" w:styleId="SottotitoloCarattere">
    <w:name w:val="Sottotitolo Carattere"/>
    <w:basedOn w:val="Carpredefinitoparagrafo"/>
    <w:link w:val="Sottotitolo"/>
    <w:uiPriority w:val="99"/>
    <w:semiHidden/>
    <w:rsid w:val="007F3E67"/>
    <w:rPr>
      <w:rFonts w:asciiTheme="majorHAnsi" w:eastAsiaTheme="majorEastAsia" w:hAnsiTheme="majorHAnsi" w:cstheme="majorBidi"/>
      <w:i/>
      <w:iCs/>
      <w:spacing w:val="13"/>
      <w:sz w:val="24"/>
      <w:szCs w:val="24"/>
      <w:lang w:bidi="en-US"/>
    </w:rPr>
  </w:style>
  <w:style w:type="numbering" w:styleId="111111">
    <w:name w:val="Outline List 2"/>
    <w:basedOn w:val="Nessunelenco"/>
    <w:uiPriority w:val="99"/>
    <w:semiHidden/>
    <w:rsid w:val="00E77CB3"/>
    <w:pPr>
      <w:numPr>
        <w:numId w:val="2"/>
      </w:numPr>
    </w:pPr>
  </w:style>
  <w:style w:type="numbering" w:styleId="1ai">
    <w:name w:val="Outline List 1"/>
    <w:basedOn w:val="Nessunelenco"/>
    <w:uiPriority w:val="99"/>
    <w:semiHidden/>
    <w:rsid w:val="00E77CB3"/>
    <w:pPr>
      <w:numPr>
        <w:numId w:val="3"/>
      </w:numPr>
    </w:pPr>
  </w:style>
  <w:style w:type="numbering" w:styleId="ArticoloSezione">
    <w:name w:val="Outline List 3"/>
    <w:basedOn w:val="Nessunelenco"/>
    <w:uiPriority w:val="99"/>
    <w:semiHidden/>
    <w:rsid w:val="00E77CB3"/>
    <w:pPr>
      <w:numPr>
        <w:numId w:val="4"/>
      </w:numPr>
    </w:pPr>
  </w:style>
  <w:style w:type="paragraph" w:styleId="Bibliografia">
    <w:name w:val="Bibliography"/>
    <w:basedOn w:val="Normale"/>
    <w:next w:val="Normale"/>
    <w:uiPriority w:val="99"/>
    <w:semiHidden/>
    <w:unhideWhenUsed/>
    <w:rsid w:val="00E77CB3"/>
  </w:style>
  <w:style w:type="paragraph" w:styleId="Testodelblocco">
    <w:name w:val="Block Text"/>
    <w:basedOn w:val="Normale"/>
    <w:uiPriority w:val="99"/>
    <w:semiHidden/>
    <w:rsid w:val="00E77CB3"/>
    <w:pPr>
      <w:pBdr>
        <w:top w:val="single" w:sz="2" w:space="10" w:color="0072BC" w:themeColor="accent1" w:frame="1"/>
        <w:left w:val="single" w:sz="2" w:space="10" w:color="0072BC" w:themeColor="accent1" w:frame="1"/>
        <w:bottom w:val="single" w:sz="2" w:space="10" w:color="0072BC" w:themeColor="accent1" w:frame="1"/>
        <w:right w:val="single" w:sz="2" w:space="10" w:color="0072BC" w:themeColor="accent1" w:frame="1"/>
      </w:pBdr>
      <w:ind w:left="1152" w:right="1152"/>
    </w:pPr>
    <w:rPr>
      <w:i/>
      <w:iCs/>
      <w:color w:val="0072BC" w:themeColor="accent1"/>
    </w:rPr>
  </w:style>
  <w:style w:type="paragraph" w:styleId="Corpotesto">
    <w:name w:val="Body Text"/>
    <w:basedOn w:val="Normale"/>
    <w:link w:val="CorpotestoCarattere"/>
    <w:uiPriority w:val="99"/>
    <w:semiHidden/>
    <w:rsid w:val="00E77CB3"/>
    <w:pPr>
      <w:spacing w:after="120"/>
    </w:pPr>
  </w:style>
  <w:style w:type="character" w:customStyle="1" w:styleId="CorpotestoCarattere">
    <w:name w:val="Corpo testo Carattere"/>
    <w:basedOn w:val="Carpredefinitoparagrafo"/>
    <w:link w:val="Corpotesto"/>
    <w:uiPriority w:val="99"/>
    <w:semiHidden/>
    <w:rsid w:val="00E77CB3"/>
    <w:rPr>
      <w:rFonts w:eastAsiaTheme="minorEastAsia"/>
      <w:sz w:val="24"/>
    </w:rPr>
  </w:style>
  <w:style w:type="paragraph" w:styleId="Corpodeltesto2">
    <w:name w:val="Body Text 2"/>
    <w:basedOn w:val="Normale"/>
    <w:link w:val="Corpodeltesto2Carattere"/>
    <w:uiPriority w:val="99"/>
    <w:semiHidden/>
    <w:rsid w:val="00E77CB3"/>
    <w:pPr>
      <w:spacing w:after="120" w:line="480" w:lineRule="auto"/>
    </w:pPr>
  </w:style>
  <w:style w:type="character" w:customStyle="1" w:styleId="Corpodeltesto2Carattere">
    <w:name w:val="Corpo del testo 2 Carattere"/>
    <w:basedOn w:val="Carpredefinitoparagrafo"/>
    <w:link w:val="Corpodeltesto2"/>
    <w:uiPriority w:val="99"/>
    <w:semiHidden/>
    <w:rsid w:val="00E77CB3"/>
    <w:rPr>
      <w:rFonts w:eastAsiaTheme="minorEastAsia"/>
      <w:sz w:val="24"/>
    </w:rPr>
  </w:style>
  <w:style w:type="paragraph" w:styleId="Corpodeltesto3">
    <w:name w:val="Body Text 3"/>
    <w:basedOn w:val="Normale"/>
    <w:link w:val="Corpodeltesto3Carattere"/>
    <w:uiPriority w:val="99"/>
    <w:semiHidden/>
    <w:rsid w:val="00E77CB3"/>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E77CB3"/>
    <w:rPr>
      <w:rFonts w:eastAsiaTheme="minorEastAsia"/>
      <w:sz w:val="16"/>
      <w:szCs w:val="16"/>
    </w:rPr>
  </w:style>
  <w:style w:type="paragraph" w:styleId="Primorientrocorpodeltesto">
    <w:name w:val="Body Text First Indent"/>
    <w:basedOn w:val="Corpotesto"/>
    <w:link w:val="PrimorientrocorpodeltestoCarattere"/>
    <w:uiPriority w:val="99"/>
    <w:semiHidden/>
    <w:rsid w:val="00E77CB3"/>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E77CB3"/>
    <w:rPr>
      <w:rFonts w:eastAsiaTheme="minorEastAsia"/>
      <w:sz w:val="24"/>
    </w:rPr>
  </w:style>
  <w:style w:type="paragraph" w:styleId="Rientrocorpodeltesto">
    <w:name w:val="Body Text Indent"/>
    <w:basedOn w:val="Normale"/>
    <w:link w:val="RientrocorpodeltestoCarattere"/>
    <w:uiPriority w:val="99"/>
    <w:semiHidden/>
    <w:rsid w:val="00E77CB3"/>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E77CB3"/>
    <w:rPr>
      <w:rFonts w:eastAsiaTheme="minorEastAsia"/>
      <w:sz w:val="24"/>
    </w:rPr>
  </w:style>
  <w:style w:type="paragraph" w:styleId="Primorientrocorpodeltesto2">
    <w:name w:val="Body Text First Indent 2"/>
    <w:basedOn w:val="Rientrocorpodeltesto"/>
    <w:link w:val="Primorientrocorpodeltesto2Carattere"/>
    <w:uiPriority w:val="99"/>
    <w:semiHidden/>
    <w:rsid w:val="00E77CB3"/>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E77CB3"/>
    <w:rPr>
      <w:rFonts w:eastAsiaTheme="minorEastAsia"/>
      <w:sz w:val="24"/>
    </w:rPr>
  </w:style>
  <w:style w:type="paragraph" w:styleId="Rientrocorpodeltesto2">
    <w:name w:val="Body Text Indent 2"/>
    <w:basedOn w:val="Normale"/>
    <w:link w:val="Rientrocorpodeltesto2Carattere"/>
    <w:uiPriority w:val="99"/>
    <w:semiHidden/>
    <w:rsid w:val="00E77CB3"/>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E77CB3"/>
    <w:rPr>
      <w:rFonts w:eastAsiaTheme="minorEastAsia"/>
      <w:sz w:val="24"/>
    </w:rPr>
  </w:style>
  <w:style w:type="paragraph" w:styleId="Rientrocorpodeltesto3">
    <w:name w:val="Body Text Indent 3"/>
    <w:basedOn w:val="Normale"/>
    <w:link w:val="Rientrocorpodeltesto3Carattere"/>
    <w:uiPriority w:val="99"/>
    <w:semiHidden/>
    <w:rsid w:val="00E77CB3"/>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E77CB3"/>
    <w:rPr>
      <w:rFonts w:eastAsiaTheme="minorEastAsia"/>
      <w:sz w:val="16"/>
      <w:szCs w:val="16"/>
    </w:rPr>
  </w:style>
  <w:style w:type="paragraph" w:styleId="Didascalia">
    <w:name w:val="caption"/>
    <w:basedOn w:val="Normale"/>
    <w:next w:val="Normale"/>
    <w:uiPriority w:val="99"/>
    <w:semiHidden/>
    <w:qFormat/>
    <w:rsid w:val="00E77CB3"/>
    <w:pPr>
      <w:spacing w:after="200"/>
    </w:pPr>
    <w:rPr>
      <w:b/>
      <w:bCs/>
      <w:color w:val="0072BC" w:themeColor="accent1"/>
      <w:sz w:val="18"/>
      <w:szCs w:val="18"/>
    </w:rPr>
  </w:style>
  <w:style w:type="paragraph" w:styleId="Formuladichiusura">
    <w:name w:val="Closing"/>
    <w:basedOn w:val="Normale"/>
    <w:link w:val="FormuladichiusuraCarattere"/>
    <w:uiPriority w:val="99"/>
    <w:semiHidden/>
    <w:rsid w:val="00E77CB3"/>
    <w:pPr>
      <w:ind w:left="4252"/>
    </w:pPr>
  </w:style>
  <w:style w:type="character" w:customStyle="1" w:styleId="FormuladichiusuraCarattere">
    <w:name w:val="Formula di chiusura Carattere"/>
    <w:basedOn w:val="Carpredefinitoparagrafo"/>
    <w:link w:val="Formuladichiusura"/>
    <w:uiPriority w:val="99"/>
    <w:semiHidden/>
    <w:rsid w:val="00E77CB3"/>
    <w:rPr>
      <w:rFonts w:eastAsiaTheme="minorEastAsia"/>
      <w:sz w:val="24"/>
    </w:rPr>
  </w:style>
  <w:style w:type="table" w:styleId="Grigliaacolori">
    <w:name w:val="Colorful Grid"/>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99"/>
    <w:semiHidden/>
    <w:rsid w:val="00E77CB3"/>
    <w:rPr>
      <w:color w:val="000000" w:themeColor="text1"/>
      <w:lang w:val="fr-FR" w:eastAsia="fr-FR"/>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99"/>
    <w:semiHidden/>
    <w:rsid w:val="00E77CB3"/>
    <w:rPr>
      <w:color w:val="000000" w:themeColor="text1"/>
      <w:lang w:val="fr-FR" w:eastAsia="fr-FR"/>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99"/>
    <w:semiHidden/>
    <w:rsid w:val="00E77CB3"/>
    <w:rPr>
      <w:color w:val="000000" w:themeColor="text1"/>
      <w:lang w:val="fr-FR" w:eastAsia="fr-FR"/>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99"/>
    <w:semiHidden/>
    <w:rsid w:val="00E77CB3"/>
    <w:rPr>
      <w:color w:val="000000" w:themeColor="text1"/>
      <w:lang w:val="fr-FR" w:eastAsia="fr-FR"/>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99"/>
    <w:semiHidden/>
    <w:rsid w:val="00E77CB3"/>
    <w:rPr>
      <w:color w:val="000000" w:themeColor="text1"/>
      <w:lang w:val="fr-FR" w:eastAsia="fr-FR"/>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99"/>
    <w:semiHidden/>
    <w:rsid w:val="00E77CB3"/>
    <w:rPr>
      <w:color w:val="000000" w:themeColor="text1"/>
      <w:lang w:val="fr-FR" w:eastAsia="fr-FR"/>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99"/>
    <w:semiHidden/>
    <w:rsid w:val="00E77CB3"/>
    <w:rPr>
      <w:color w:val="000000" w:themeColor="text1"/>
      <w:lang w:val="fr-FR" w:eastAsia="fr-FR"/>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99"/>
    <w:semiHidden/>
    <w:rsid w:val="00E77CB3"/>
    <w:rPr>
      <w:color w:val="000000" w:themeColor="text1"/>
      <w:lang w:val="fr-FR" w:eastAsia="fr-FR"/>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99"/>
    <w:semiHidden/>
    <w:rsid w:val="00E77CB3"/>
    <w:rPr>
      <w:color w:val="000000" w:themeColor="text1"/>
      <w:lang w:val="fr-FR" w:eastAsia="fr-FR"/>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99"/>
    <w:semiHidden/>
    <w:rsid w:val="00E77CB3"/>
    <w:rPr>
      <w:color w:val="000000" w:themeColor="text1"/>
      <w:lang w:val="fr-FR" w:eastAsia="fr-FR"/>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99"/>
    <w:semiHidden/>
    <w:rsid w:val="00E77CB3"/>
    <w:rPr>
      <w:color w:val="000000" w:themeColor="text1"/>
      <w:lang w:val="fr-FR" w:eastAsia="fr-FR"/>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99"/>
    <w:semiHidden/>
    <w:rsid w:val="00E77CB3"/>
    <w:rPr>
      <w:color w:val="000000" w:themeColor="text1"/>
      <w:lang w:val="fr-FR" w:eastAsia="fr-FR"/>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99"/>
    <w:semiHidden/>
    <w:rsid w:val="00E77CB3"/>
    <w:rPr>
      <w:color w:val="000000" w:themeColor="text1"/>
      <w:lang w:val="fr-FR" w:eastAsia="fr-FR"/>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99"/>
    <w:semiHidden/>
    <w:rsid w:val="00E77CB3"/>
    <w:rPr>
      <w:color w:val="000000" w:themeColor="text1"/>
      <w:lang w:val="fr-FR" w:eastAsia="fr-FR"/>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Elencoscuro">
    <w:name w:val="Dark List"/>
    <w:basedOn w:val="Tabellanormale"/>
    <w:uiPriority w:val="99"/>
    <w:semiHidden/>
    <w:rsid w:val="00E77CB3"/>
    <w:rPr>
      <w:color w:val="0072BC" w:themeColor="background1"/>
      <w:lang w:val="fr-FR" w:eastAsia="fr-FR"/>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99"/>
    <w:semiHidden/>
    <w:rsid w:val="00E77CB3"/>
    <w:rPr>
      <w:color w:val="0072BC" w:themeColor="background1"/>
      <w:lang w:val="fr-FR" w:eastAsia="fr-FR"/>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99"/>
    <w:semiHidden/>
    <w:rsid w:val="00E77CB3"/>
    <w:rPr>
      <w:color w:val="0072BC" w:themeColor="background1"/>
      <w:lang w:val="fr-FR" w:eastAsia="fr-FR"/>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99"/>
    <w:semiHidden/>
    <w:rsid w:val="00E77CB3"/>
    <w:rPr>
      <w:color w:val="0072BC" w:themeColor="background1"/>
      <w:lang w:val="fr-FR" w:eastAsia="fr-FR"/>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99"/>
    <w:semiHidden/>
    <w:rsid w:val="00E77CB3"/>
    <w:rPr>
      <w:color w:val="0072BC" w:themeColor="background1"/>
      <w:lang w:val="fr-FR" w:eastAsia="fr-FR"/>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99"/>
    <w:semiHidden/>
    <w:rsid w:val="00E77CB3"/>
    <w:rPr>
      <w:color w:val="0072BC" w:themeColor="background1"/>
      <w:lang w:val="fr-FR" w:eastAsia="fr-FR"/>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99"/>
    <w:semiHidden/>
    <w:rsid w:val="00E77CB3"/>
    <w:rPr>
      <w:color w:val="0072BC" w:themeColor="background1"/>
      <w:lang w:val="fr-FR" w:eastAsia="fr-FR"/>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9"/>
    <w:semiHidden/>
    <w:rsid w:val="00E77CB3"/>
  </w:style>
  <w:style w:type="character" w:customStyle="1" w:styleId="DataCarattere">
    <w:name w:val="Data Carattere"/>
    <w:basedOn w:val="Carpredefinitoparagrafo"/>
    <w:link w:val="Data"/>
    <w:uiPriority w:val="99"/>
    <w:semiHidden/>
    <w:rsid w:val="00E77CB3"/>
    <w:rPr>
      <w:rFonts w:eastAsiaTheme="minorEastAsia"/>
      <w:sz w:val="24"/>
    </w:rPr>
  </w:style>
  <w:style w:type="paragraph" w:styleId="Firmadipostaelettronica">
    <w:name w:val="E-mail Signature"/>
    <w:basedOn w:val="Normale"/>
    <w:link w:val="FirmadipostaelettronicaCarattere"/>
    <w:uiPriority w:val="99"/>
    <w:semiHidden/>
    <w:rsid w:val="00E77CB3"/>
  </w:style>
  <w:style w:type="character" w:customStyle="1" w:styleId="FirmadipostaelettronicaCarattere">
    <w:name w:val="Firma di posta elettronica Carattere"/>
    <w:basedOn w:val="Carpredefinitoparagrafo"/>
    <w:link w:val="Firmadipostaelettronica"/>
    <w:uiPriority w:val="99"/>
    <w:semiHidden/>
    <w:rsid w:val="00E77CB3"/>
    <w:rPr>
      <w:rFonts w:eastAsiaTheme="minorEastAsia"/>
      <w:sz w:val="24"/>
    </w:rPr>
  </w:style>
  <w:style w:type="paragraph" w:styleId="Indirizzodestinatario">
    <w:name w:val="envelope address"/>
    <w:basedOn w:val="Normale"/>
    <w:uiPriority w:val="99"/>
    <w:semiHidden/>
    <w:rsid w:val="00E77CB3"/>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Indirizzomittente">
    <w:name w:val="envelope return"/>
    <w:basedOn w:val="Normale"/>
    <w:uiPriority w:val="99"/>
    <w:semiHidden/>
    <w:rsid w:val="00E77CB3"/>
    <w:rPr>
      <w:rFonts w:asciiTheme="majorHAnsi" w:eastAsiaTheme="majorEastAsia" w:hAnsiTheme="majorHAnsi" w:cstheme="majorBidi"/>
      <w:sz w:val="20"/>
      <w:szCs w:val="20"/>
    </w:rPr>
  </w:style>
  <w:style w:type="character" w:styleId="AcronimoHTML">
    <w:name w:val="HTML Acronym"/>
    <w:basedOn w:val="Carpredefinitoparagrafo"/>
    <w:uiPriority w:val="99"/>
    <w:semiHidden/>
    <w:rsid w:val="00E77CB3"/>
  </w:style>
  <w:style w:type="paragraph" w:styleId="IndirizzoHTML">
    <w:name w:val="HTML Address"/>
    <w:basedOn w:val="Normale"/>
    <w:link w:val="IndirizzoHTMLCarattere"/>
    <w:uiPriority w:val="99"/>
    <w:semiHidden/>
    <w:rsid w:val="00E77CB3"/>
    <w:rPr>
      <w:i/>
      <w:iCs/>
    </w:rPr>
  </w:style>
  <w:style w:type="character" w:customStyle="1" w:styleId="IndirizzoHTMLCarattere">
    <w:name w:val="Indirizzo HTML Carattere"/>
    <w:basedOn w:val="Carpredefinitoparagrafo"/>
    <w:link w:val="IndirizzoHTML"/>
    <w:uiPriority w:val="99"/>
    <w:semiHidden/>
    <w:rsid w:val="00E77CB3"/>
    <w:rPr>
      <w:rFonts w:eastAsiaTheme="minorEastAsia"/>
      <w:i/>
      <w:iCs/>
      <w:sz w:val="24"/>
    </w:rPr>
  </w:style>
  <w:style w:type="character" w:styleId="CitazioneHTML">
    <w:name w:val="HTML Cite"/>
    <w:basedOn w:val="Carpredefinitoparagrafo"/>
    <w:uiPriority w:val="99"/>
    <w:semiHidden/>
    <w:rsid w:val="00E77CB3"/>
    <w:rPr>
      <w:i/>
      <w:iCs/>
    </w:rPr>
  </w:style>
  <w:style w:type="character" w:styleId="CodiceHTML">
    <w:name w:val="HTML Code"/>
    <w:basedOn w:val="Carpredefinitoparagrafo"/>
    <w:uiPriority w:val="99"/>
    <w:semiHidden/>
    <w:rsid w:val="00E77CB3"/>
    <w:rPr>
      <w:rFonts w:ascii="Consolas" w:hAnsi="Consolas" w:cs="Consolas"/>
      <w:sz w:val="20"/>
      <w:szCs w:val="20"/>
    </w:rPr>
  </w:style>
  <w:style w:type="character" w:styleId="DefinizioneHTML">
    <w:name w:val="HTML Definition"/>
    <w:basedOn w:val="Carpredefinitoparagrafo"/>
    <w:uiPriority w:val="99"/>
    <w:semiHidden/>
    <w:rsid w:val="00E77CB3"/>
    <w:rPr>
      <w:i/>
      <w:iCs/>
    </w:rPr>
  </w:style>
  <w:style w:type="character" w:styleId="TastieraHTML">
    <w:name w:val="HTML Keyboard"/>
    <w:basedOn w:val="Carpredefinitoparagrafo"/>
    <w:uiPriority w:val="99"/>
    <w:semiHidden/>
    <w:rsid w:val="00E77CB3"/>
    <w:rPr>
      <w:rFonts w:ascii="Consolas" w:hAnsi="Consolas" w:cs="Consolas"/>
      <w:sz w:val="20"/>
      <w:szCs w:val="20"/>
    </w:rPr>
  </w:style>
  <w:style w:type="paragraph" w:styleId="PreformattatoHTML">
    <w:name w:val="HTML Preformatted"/>
    <w:basedOn w:val="Normale"/>
    <w:link w:val="PreformattatoHTMLCarattere"/>
    <w:uiPriority w:val="99"/>
    <w:semiHidden/>
    <w:rsid w:val="00E77CB3"/>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E77CB3"/>
    <w:rPr>
      <w:rFonts w:ascii="Consolas" w:eastAsiaTheme="minorEastAsia" w:hAnsi="Consolas" w:cs="Consolas"/>
      <w:sz w:val="20"/>
      <w:szCs w:val="20"/>
    </w:rPr>
  </w:style>
  <w:style w:type="character" w:styleId="EsempioHTML">
    <w:name w:val="HTML Sample"/>
    <w:basedOn w:val="Carpredefinitoparagrafo"/>
    <w:uiPriority w:val="99"/>
    <w:semiHidden/>
    <w:rsid w:val="00E77CB3"/>
    <w:rPr>
      <w:rFonts w:ascii="Consolas" w:hAnsi="Consolas" w:cs="Consolas"/>
      <w:sz w:val="24"/>
      <w:szCs w:val="24"/>
    </w:rPr>
  </w:style>
  <w:style w:type="character" w:styleId="MacchinadascrivereHTML">
    <w:name w:val="HTML Typewriter"/>
    <w:basedOn w:val="Carpredefinitoparagrafo"/>
    <w:uiPriority w:val="99"/>
    <w:semiHidden/>
    <w:rsid w:val="00E77CB3"/>
    <w:rPr>
      <w:rFonts w:ascii="Consolas" w:hAnsi="Consolas" w:cs="Consolas"/>
      <w:sz w:val="20"/>
      <w:szCs w:val="20"/>
    </w:rPr>
  </w:style>
  <w:style w:type="character" w:styleId="VariabileHTML">
    <w:name w:val="HTML Variable"/>
    <w:basedOn w:val="Carpredefinitoparagrafo"/>
    <w:uiPriority w:val="99"/>
    <w:semiHidden/>
    <w:rsid w:val="00E77CB3"/>
    <w:rPr>
      <w:i/>
      <w:iCs/>
    </w:rPr>
  </w:style>
  <w:style w:type="paragraph" w:styleId="Indice1">
    <w:name w:val="index 1"/>
    <w:basedOn w:val="Normale"/>
    <w:next w:val="Normale"/>
    <w:autoRedefine/>
    <w:uiPriority w:val="99"/>
    <w:semiHidden/>
    <w:rsid w:val="00E77CB3"/>
    <w:pPr>
      <w:ind w:left="240" w:hanging="240"/>
    </w:pPr>
  </w:style>
  <w:style w:type="paragraph" w:styleId="Indice2">
    <w:name w:val="index 2"/>
    <w:basedOn w:val="Normale"/>
    <w:next w:val="Normale"/>
    <w:autoRedefine/>
    <w:uiPriority w:val="99"/>
    <w:semiHidden/>
    <w:rsid w:val="00E77CB3"/>
    <w:pPr>
      <w:ind w:left="480" w:hanging="240"/>
    </w:pPr>
  </w:style>
  <w:style w:type="paragraph" w:styleId="Indice3">
    <w:name w:val="index 3"/>
    <w:basedOn w:val="Normale"/>
    <w:next w:val="Normale"/>
    <w:autoRedefine/>
    <w:uiPriority w:val="99"/>
    <w:semiHidden/>
    <w:rsid w:val="00E77CB3"/>
    <w:pPr>
      <w:ind w:left="720" w:hanging="240"/>
    </w:pPr>
  </w:style>
  <w:style w:type="paragraph" w:styleId="Indice4">
    <w:name w:val="index 4"/>
    <w:basedOn w:val="Normale"/>
    <w:next w:val="Normale"/>
    <w:autoRedefine/>
    <w:uiPriority w:val="99"/>
    <w:semiHidden/>
    <w:rsid w:val="00E77CB3"/>
    <w:pPr>
      <w:ind w:left="960" w:hanging="240"/>
    </w:pPr>
  </w:style>
  <w:style w:type="paragraph" w:styleId="Indice5">
    <w:name w:val="index 5"/>
    <w:basedOn w:val="Normale"/>
    <w:next w:val="Normale"/>
    <w:autoRedefine/>
    <w:uiPriority w:val="99"/>
    <w:semiHidden/>
    <w:rsid w:val="00E77CB3"/>
    <w:pPr>
      <w:ind w:left="1200" w:hanging="240"/>
    </w:pPr>
  </w:style>
  <w:style w:type="paragraph" w:styleId="Indice6">
    <w:name w:val="index 6"/>
    <w:basedOn w:val="Normale"/>
    <w:next w:val="Normale"/>
    <w:autoRedefine/>
    <w:uiPriority w:val="99"/>
    <w:semiHidden/>
    <w:rsid w:val="00E77CB3"/>
    <w:pPr>
      <w:ind w:left="1440" w:hanging="240"/>
    </w:pPr>
  </w:style>
  <w:style w:type="paragraph" w:styleId="Indice7">
    <w:name w:val="index 7"/>
    <w:basedOn w:val="Normale"/>
    <w:next w:val="Normale"/>
    <w:autoRedefine/>
    <w:uiPriority w:val="99"/>
    <w:semiHidden/>
    <w:rsid w:val="00E77CB3"/>
    <w:pPr>
      <w:ind w:left="1680" w:hanging="240"/>
    </w:pPr>
  </w:style>
  <w:style w:type="paragraph" w:styleId="Indice8">
    <w:name w:val="index 8"/>
    <w:basedOn w:val="Normale"/>
    <w:next w:val="Normale"/>
    <w:autoRedefine/>
    <w:uiPriority w:val="99"/>
    <w:semiHidden/>
    <w:rsid w:val="00E77CB3"/>
    <w:pPr>
      <w:ind w:left="1920" w:hanging="240"/>
    </w:pPr>
  </w:style>
  <w:style w:type="paragraph" w:styleId="Indice9">
    <w:name w:val="index 9"/>
    <w:basedOn w:val="Normale"/>
    <w:next w:val="Normale"/>
    <w:autoRedefine/>
    <w:uiPriority w:val="99"/>
    <w:semiHidden/>
    <w:rsid w:val="00E77CB3"/>
    <w:pPr>
      <w:ind w:left="2160" w:hanging="240"/>
    </w:pPr>
  </w:style>
  <w:style w:type="paragraph" w:styleId="Titoloindice">
    <w:name w:val="index heading"/>
    <w:basedOn w:val="Normale"/>
    <w:next w:val="Indice1"/>
    <w:uiPriority w:val="99"/>
    <w:semiHidden/>
    <w:rsid w:val="00E77CB3"/>
    <w:rPr>
      <w:rFonts w:asciiTheme="majorHAnsi" w:eastAsiaTheme="majorEastAsia" w:hAnsiTheme="majorHAnsi" w:cstheme="majorBidi"/>
      <w:b/>
      <w:bCs/>
    </w:rPr>
  </w:style>
  <w:style w:type="table" w:styleId="Grigliachiara">
    <w:name w:val="Light Grid"/>
    <w:basedOn w:val="Tabellanormale"/>
    <w:uiPriority w:val="99"/>
    <w:semiHidden/>
    <w:rsid w:val="00E77CB3"/>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99"/>
    <w:semiHidden/>
    <w:rsid w:val="00E77CB3"/>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99"/>
    <w:semiHidden/>
    <w:rsid w:val="00E77CB3"/>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99"/>
    <w:semiHidden/>
    <w:rsid w:val="00E77CB3"/>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99"/>
    <w:semiHidden/>
    <w:rsid w:val="00E77CB3"/>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99"/>
    <w:semiHidden/>
    <w:rsid w:val="00E77CB3"/>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99"/>
    <w:semiHidden/>
    <w:rsid w:val="00E77CB3"/>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99"/>
    <w:semiHidden/>
    <w:rsid w:val="00E77CB3"/>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99"/>
    <w:semiHidden/>
    <w:rsid w:val="00E77CB3"/>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99"/>
    <w:semiHidden/>
    <w:rsid w:val="00E77CB3"/>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99"/>
    <w:semiHidden/>
    <w:rsid w:val="00E77CB3"/>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99"/>
    <w:semiHidden/>
    <w:rsid w:val="00E77CB3"/>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99"/>
    <w:semiHidden/>
    <w:rsid w:val="00E77CB3"/>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99"/>
    <w:semiHidden/>
    <w:rsid w:val="00E77CB3"/>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99"/>
    <w:semiHidden/>
    <w:rsid w:val="00E77CB3"/>
    <w:rPr>
      <w:color w:val="000000" w:themeColor="text1" w:themeShade="BF"/>
      <w:lang w:val="fr-FR" w:eastAsia="fr-F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99"/>
    <w:semiHidden/>
    <w:rsid w:val="00E77CB3"/>
    <w:rPr>
      <w:color w:val="00548C" w:themeColor="accent1" w:themeShade="BF"/>
      <w:lang w:val="fr-FR" w:eastAsia="fr-FR"/>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99"/>
    <w:semiHidden/>
    <w:rsid w:val="00E77CB3"/>
    <w:rPr>
      <w:color w:val="8F0000" w:themeColor="accent2" w:themeShade="BF"/>
      <w:lang w:val="fr-FR" w:eastAsia="fr-FR"/>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99"/>
    <w:semiHidden/>
    <w:rsid w:val="00E77CB3"/>
    <w:rPr>
      <w:color w:val="474747" w:themeColor="accent3" w:themeShade="BF"/>
      <w:lang w:val="fr-FR" w:eastAsia="fr-FR"/>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99"/>
    <w:semiHidden/>
    <w:rsid w:val="00E77CB3"/>
    <w:rPr>
      <w:color w:val="707070" w:themeColor="accent4" w:themeShade="BF"/>
      <w:lang w:val="fr-FR" w:eastAsia="fr-FR"/>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99"/>
    <w:semiHidden/>
    <w:rsid w:val="00E77CB3"/>
    <w:rPr>
      <w:color w:val="474747" w:themeColor="accent5" w:themeShade="BF"/>
      <w:lang w:val="fr-FR" w:eastAsia="fr-FR"/>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99"/>
    <w:semiHidden/>
    <w:rsid w:val="00E77CB3"/>
    <w:rPr>
      <w:color w:val="393939" w:themeColor="accent6" w:themeShade="BF"/>
      <w:lang w:val="fr-FR" w:eastAsia="fr-FR"/>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9"/>
    <w:semiHidden/>
    <w:rsid w:val="00E77CB3"/>
  </w:style>
  <w:style w:type="paragraph" w:styleId="Elenco">
    <w:name w:val="List"/>
    <w:basedOn w:val="Normale"/>
    <w:uiPriority w:val="99"/>
    <w:semiHidden/>
    <w:rsid w:val="00E77CB3"/>
    <w:pPr>
      <w:ind w:left="283" w:hanging="283"/>
      <w:contextualSpacing/>
    </w:pPr>
  </w:style>
  <w:style w:type="paragraph" w:styleId="Elenco2">
    <w:name w:val="List 2"/>
    <w:basedOn w:val="Normale"/>
    <w:uiPriority w:val="99"/>
    <w:semiHidden/>
    <w:rsid w:val="00E77CB3"/>
    <w:pPr>
      <w:ind w:left="566" w:hanging="283"/>
      <w:contextualSpacing/>
    </w:pPr>
  </w:style>
  <w:style w:type="paragraph" w:styleId="Elenco3">
    <w:name w:val="List 3"/>
    <w:basedOn w:val="Normale"/>
    <w:uiPriority w:val="99"/>
    <w:semiHidden/>
    <w:rsid w:val="00E77CB3"/>
    <w:pPr>
      <w:ind w:left="849" w:hanging="283"/>
      <w:contextualSpacing/>
    </w:pPr>
  </w:style>
  <w:style w:type="paragraph" w:styleId="Elenco4">
    <w:name w:val="List 4"/>
    <w:basedOn w:val="Normale"/>
    <w:uiPriority w:val="99"/>
    <w:semiHidden/>
    <w:rsid w:val="00E77CB3"/>
    <w:pPr>
      <w:ind w:left="1132" w:hanging="283"/>
      <w:contextualSpacing/>
    </w:pPr>
  </w:style>
  <w:style w:type="paragraph" w:styleId="Elenco5">
    <w:name w:val="List 5"/>
    <w:basedOn w:val="Normale"/>
    <w:uiPriority w:val="99"/>
    <w:semiHidden/>
    <w:rsid w:val="00E77CB3"/>
    <w:pPr>
      <w:ind w:left="1415" w:hanging="283"/>
      <w:contextualSpacing/>
    </w:pPr>
  </w:style>
  <w:style w:type="paragraph" w:styleId="Puntoelenco2">
    <w:name w:val="List Bullet 2"/>
    <w:basedOn w:val="Normale"/>
    <w:uiPriority w:val="99"/>
    <w:semiHidden/>
    <w:rsid w:val="00E77CB3"/>
    <w:pPr>
      <w:numPr>
        <w:numId w:val="5"/>
      </w:numPr>
      <w:contextualSpacing/>
    </w:pPr>
  </w:style>
  <w:style w:type="paragraph" w:styleId="Puntoelenco3">
    <w:name w:val="List Bullet 3"/>
    <w:basedOn w:val="Normale"/>
    <w:uiPriority w:val="99"/>
    <w:semiHidden/>
    <w:rsid w:val="00E77CB3"/>
    <w:pPr>
      <w:numPr>
        <w:numId w:val="6"/>
      </w:numPr>
      <w:contextualSpacing/>
    </w:pPr>
  </w:style>
  <w:style w:type="paragraph" w:styleId="Puntoelenco4">
    <w:name w:val="List Bullet 4"/>
    <w:basedOn w:val="Normale"/>
    <w:uiPriority w:val="99"/>
    <w:semiHidden/>
    <w:rsid w:val="00E77CB3"/>
    <w:pPr>
      <w:numPr>
        <w:numId w:val="7"/>
      </w:numPr>
      <w:contextualSpacing/>
    </w:pPr>
  </w:style>
  <w:style w:type="paragraph" w:styleId="Puntoelenco5">
    <w:name w:val="List Bullet 5"/>
    <w:basedOn w:val="Normale"/>
    <w:uiPriority w:val="99"/>
    <w:semiHidden/>
    <w:rsid w:val="00E77CB3"/>
    <w:pPr>
      <w:numPr>
        <w:numId w:val="8"/>
      </w:numPr>
      <w:contextualSpacing/>
    </w:pPr>
  </w:style>
  <w:style w:type="paragraph" w:styleId="Elencocontinua">
    <w:name w:val="List Continue"/>
    <w:basedOn w:val="Normale"/>
    <w:uiPriority w:val="99"/>
    <w:semiHidden/>
    <w:rsid w:val="00E77CB3"/>
    <w:pPr>
      <w:spacing w:after="120"/>
      <w:ind w:left="283"/>
      <w:contextualSpacing/>
    </w:pPr>
  </w:style>
  <w:style w:type="paragraph" w:styleId="Elencocontinua2">
    <w:name w:val="List Continue 2"/>
    <w:basedOn w:val="Normale"/>
    <w:uiPriority w:val="99"/>
    <w:semiHidden/>
    <w:rsid w:val="00E77CB3"/>
    <w:pPr>
      <w:spacing w:after="120"/>
      <w:ind w:left="566"/>
      <w:contextualSpacing/>
    </w:pPr>
  </w:style>
  <w:style w:type="paragraph" w:styleId="Elencocontinua3">
    <w:name w:val="List Continue 3"/>
    <w:basedOn w:val="Normale"/>
    <w:uiPriority w:val="99"/>
    <w:semiHidden/>
    <w:rsid w:val="00E77CB3"/>
    <w:pPr>
      <w:spacing w:after="120"/>
      <w:ind w:left="849"/>
      <w:contextualSpacing/>
    </w:pPr>
  </w:style>
  <w:style w:type="paragraph" w:styleId="Elencocontinua4">
    <w:name w:val="List Continue 4"/>
    <w:basedOn w:val="Normale"/>
    <w:uiPriority w:val="99"/>
    <w:semiHidden/>
    <w:rsid w:val="00E77CB3"/>
    <w:pPr>
      <w:spacing w:after="120"/>
      <w:ind w:left="1132"/>
      <w:contextualSpacing/>
    </w:pPr>
  </w:style>
  <w:style w:type="paragraph" w:styleId="Elencocontinua5">
    <w:name w:val="List Continue 5"/>
    <w:basedOn w:val="Normale"/>
    <w:uiPriority w:val="99"/>
    <w:semiHidden/>
    <w:rsid w:val="00E77CB3"/>
    <w:pPr>
      <w:spacing w:after="120"/>
      <w:ind w:left="1415"/>
      <w:contextualSpacing/>
    </w:pPr>
  </w:style>
  <w:style w:type="paragraph" w:styleId="Numeroelenco">
    <w:name w:val="List Number"/>
    <w:basedOn w:val="Normale"/>
    <w:uiPriority w:val="99"/>
    <w:semiHidden/>
    <w:rsid w:val="00E77CB3"/>
    <w:pPr>
      <w:numPr>
        <w:numId w:val="9"/>
      </w:numPr>
      <w:contextualSpacing/>
    </w:pPr>
  </w:style>
  <w:style w:type="paragraph" w:styleId="Numeroelenco2">
    <w:name w:val="List Number 2"/>
    <w:basedOn w:val="Normale"/>
    <w:uiPriority w:val="99"/>
    <w:semiHidden/>
    <w:rsid w:val="00E77CB3"/>
    <w:pPr>
      <w:numPr>
        <w:numId w:val="10"/>
      </w:numPr>
      <w:contextualSpacing/>
    </w:pPr>
  </w:style>
  <w:style w:type="paragraph" w:styleId="Numeroelenco3">
    <w:name w:val="List Number 3"/>
    <w:basedOn w:val="Normale"/>
    <w:uiPriority w:val="99"/>
    <w:semiHidden/>
    <w:rsid w:val="00E77CB3"/>
    <w:pPr>
      <w:numPr>
        <w:numId w:val="11"/>
      </w:numPr>
      <w:contextualSpacing/>
    </w:pPr>
  </w:style>
  <w:style w:type="paragraph" w:styleId="Numeroelenco4">
    <w:name w:val="List Number 4"/>
    <w:basedOn w:val="Normale"/>
    <w:uiPriority w:val="99"/>
    <w:semiHidden/>
    <w:rsid w:val="00E77CB3"/>
    <w:pPr>
      <w:numPr>
        <w:numId w:val="12"/>
      </w:numPr>
      <w:contextualSpacing/>
    </w:pPr>
  </w:style>
  <w:style w:type="paragraph" w:styleId="Numeroelenco5">
    <w:name w:val="List Number 5"/>
    <w:basedOn w:val="Normale"/>
    <w:uiPriority w:val="99"/>
    <w:semiHidden/>
    <w:rsid w:val="00E77CB3"/>
    <w:pPr>
      <w:numPr>
        <w:numId w:val="13"/>
      </w:numPr>
      <w:contextualSpacing/>
    </w:pPr>
  </w:style>
  <w:style w:type="paragraph" w:styleId="Testomacro">
    <w:name w:val="macro"/>
    <w:link w:val="TestomacroCarattere"/>
    <w:uiPriority w:val="99"/>
    <w:semiHidden/>
    <w:rsid w:val="00E77CB3"/>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9"/>
    <w:semiHidden/>
    <w:rsid w:val="00E77CB3"/>
    <w:rPr>
      <w:rFonts w:ascii="Consolas" w:eastAsiaTheme="minorEastAsia" w:hAnsi="Consolas" w:cs="Consolas"/>
      <w:sz w:val="20"/>
      <w:szCs w:val="20"/>
    </w:rPr>
  </w:style>
  <w:style w:type="table" w:styleId="Grigliamedia1">
    <w:name w:val="Medium Grid 1"/>
    <w:basedOn w:val="Tabellanormale"/>
    <w:uiPriority w:val="99"/>
    <w:semiHidden/>
    <w:rsid w:val="00E77CB3"/>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99"/>
    <w:semiHidden/>
    <w:rsid w:val="00E77CB3"/>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99"/>
    <w:semiHidden/>
    <w:rsid w:val="00E77CB3"/>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99"/>
    <w:semiHidden/>
    <w:rsid w:val="00E77CB3"/>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99"/>
    <w:semiHidden/>
    <w:rsid w:val="00E77CB3"/>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99"/>
    <w:semiHidden/>
    <w:rsid w:val="00E77CB3"/>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99"/>
    <w:semiHidden/>
    <w:rsid w:val="00E77CB3"/>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99"/>
    <w:semiHidden/>
    <w:rsid w:val="00E77CB3"/>
    <w:rPr>
      <w:color w:val="000000" w:themeColor="text1"/>
      <w:lang w:val="fr-FR" w:eastAsia="fr-FR"/>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99"/>
    <w:semiHidden/>
    <w:rsid w:val="00E77CB3"/>
    <w:rPr>
      <w:color w:val="000000" w:themeColor="text1"/>
      <w:lang w:val="fr-FR" w:eastAsia="fr-FR"/>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99"/>
    <w:semiHidden/>
    <w:rsid w:val="00E77CB3"/>
    <w:rPr>
      <w:color w:val="000000" w:themeColor="text1"/>
      <w:lang w:val="fr-FR" w:eastAsia="fr-FR"/>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99"/>
    <w:semiHidden/>
    <w:rsid w:val="00E77CB3"/>
    <w:rPr>
      <w:color w:val="000000" w:themeColor="text1"/>
      <w:lang w:val="fr-FR" w:eastAsia="fr-FR"/>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99"/>
    <w:semiHidden/>
    <w:rsid w:val="00E77CB3"/>
    <w:rPr>
      <w:color w:val="000000" w:themeColor="text1"/>
      <w:lang w:val="fr-FR" w:eastAsia="fr-FR"/>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99"/>
    <w:semiHidden/>
    <w:rsid w:val="00E77CB3"/>
    <w:rPr>
      <w:color w:val="000000" w:themeColor="text1"/>
      <w:lang w:val="fr-FR" w:eastAsia="fr-FR"/>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99"/>
    <w:semiHidden/>
    <w:rsid w:val="00E77CB3"/>
    <w:rPr>
      <w:color w:val="000000" w:themeColor="text1"/>
      <w:lang w:val="fr-FR" w:eastAsia="fr-FR"/>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99"/>
    <w:semiHidden/>
    <w:rsid w:val="00E77CB3"/>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99"/>
    <w:semiHidden/>
    <w:rsid w:val="00E77CB3"/>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99"/>
    <w:semiHidden/>
    <w:rsid w:val="00E77CB3"/>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99"/>
    <w:semiHidden/>
    <w:rsid w:val="00E77CB3"/>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99"/>
    <w:semiHidden/>
    <w:rsid w:val="00E77CB3"/>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99"/>
    <w:semiHidden/>
    <w:rsid w:val="00E77CB3"/>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99"/>
    <w:semiHidden/>
    <w:rsid w:val="00E77CB3"/>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rsid w:val="00E77CB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uiPriority w:val="99"/>
    <w:semiHidden/>
    <w:rsid w:val="00E77CB3"/>
    <w:rPr>
      <w:rFonts w:asciiTheme="majorHAnsi" w:eastAsiaTheme="majorEastAsia" w:hAnsiTheme="majorHAnsi" w:cstheme="majorBidi"/>
      <w:sz w:val="24"/>
      <w:szCs w:val="24"/>
      <w:shd w:val="pct20" w:color="auto" w:fill="auto"/>
    </w:rPr>
  </w:style>
  <w:style w:type="paragraph" w:styleId="NormaleWeb">
    <w:name w:val="Normal (Web)"/>
    <w:basedOn w:val="Normale"/>
    <w:uiPriority w:val="99"/>
    <w:semiHidden/>
    <w:rsid w:val="00E77CB3"/>
    <w:rPr>
      <w:rFonts w:ascii="Times New Roman" w:hAnsi="Times New Roman" w:cs="Times New Roman"/>
      <w:szCs w:val="24"/>
    </w:rPr>
  </w:style>
  <w:style w:type="paragraph" w:styleId="Rientronormale">
    <w:name w:val="Normal Indent"/>
    <w:basedOn w:val="Normale"/>
    <w:uiPriority w:val="99"/>
    <w:semiHidden/>
    <w:rsid w:val="00E77CB3"/>
    <w:pPr>
      <w:ind w:left="720"/>
    </w:pPr>
  </w:style>
  <w:style w:type="paragraph" w:styleId="Intestazionenota">
    <w:name w:val="Note Heading"/>
    <w:basedOn w:val="Normale"/>
    <w:next w:val="Normale"/>
    <w:link w:val="IntestazionenotaCarattere"/>
    <w:uiPriority w:val="99"/>
    <w:semiHidden/>
    <w:rsid w:val="00E77CB3"/>
  </w:style>
  <w:style w:type="character" w:customStyle="1" w:styleId="IntestazionenotaCarattere">
    <w:name w:val="Intestazione nota Carattere"/>
    <w:basedOn w:val="Carpredefinitoparagrafo"/>
    <w:link w:val="Intestazionenota"/>
    <w:uiPriority w:val="99"/>
    <w:semiHidden/>
    <w:rsid w:val="00E77CB3"/>
    <w:rPr>
      <w:rFonts w:eastAsiaTheme="minorEastAsia"/>
      <w:sz w:val="24"/>
    </w:rPr>
  </w:style>
  <w:style w:type="character" w:styleId="Testosegnaposto">
    <w:name w:val="Placeholder Text"/>
    <w:basedOn w:val="Carpredefinitoparagrafo"/>
    <w:uiPriority w:val="99"/>
    <w:semiHidden/>
    <w:rsid w:val="007F3E67"/>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9"/>
    <w:semiHidden/>
    <w:rsid w:val="00E77CB3"/>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E77CB3"/>
    <w:rPr>
      <w:rFonts w:ascii="Consolas" w:eastAsiaTheme="minorEastAsia" w:hAnsi="Consolas" w:cs="Consolas"/>
      <w:sz w:val="21"/>
      <w:szCs w:val="21"/>
    </w:rPr>
  </w:style>
  <w:style w:type="paragraph" w:styleId="Formuladiapertura">
    <w:name w:val="Salutation"/>
    <w:basedOn w:val="Normale"/>
    <w:next w:val="Normale"/>
    <w:link w:val="FormuladiaperturaCarattere"/>
    <w:uiPriority w:val="99"/>
    <w:semiHidden/>
    <w:rsid w:val="00E77CB3"/>
  </w:style>
  <w:style w:type="character" w:customStyle="1" w:styleId="FormuladiaperturaCarattere">
    <w:name w:val="Formula di apertura Carattere"/>
    <w:basedOn w:val="Carpredefinitoparagrafo"/>
    <w:link w:val="Formuladiapertura"/>
    <w:uiPriority w:val="99"/>
    <w:semiHidden/>
    <w:rsid w:val="00E77CB3"/>
    <w:rPr>
      <w:rFonts w:eastAsiaTheme="minorEastAsia"/>
      <w:sz w:val="24"/>
    </w:rPr>
  </w:style>
  <w:style w:type="paragraph" w:styleId="Firma">
    <w:name w:val="Signature"/>
    <w:basedOn w:val="Normale"/>
    <w:link w:val="FirmaCarattere"/>
    <w:uiPriority w:val="99"/>
    <w:semiHidden/>
    <w:rsid w:val="00E77CB3"/>
    <w:pPr>
      <w:ind w:left="4252"/>
    </w:pPr>
  </w:style>
  <w:style w:type="character" w:customStyle="1" w:styleId="FirmaCarattere">
    <w:name w:val="Firma Carattere"/>
    <w:basedOn w:val="Carpredefinitoparagrafo"/>
    <w:link w:val="Firma"/>
    <w:uiPriority w:val="99"/>
    <w:semiHidden/>
    <w:rsid w:val="00E77CB3"/>
    <w:rPr>
      <w:rFonts w:eastAsiaTheme="minorEastAsia"/>
      <w:sz w:val="24"/>
    </w:rPr>
  </w:style>
  <w:style w:type="table" w:styleId="Tabellaeffetti3D1">
    <w:name w:val="Table 3D effects 1"/>
    <w:basedOn w:val="Tabellanormale"/>
    <w:uiPriority w:val="99"/>
    <w:semiHidden/>
    <w:rsid w:val="00E77CB3"/>
    <w:pPr>
      <w:jc w:val="both"/>
    </w:pPr>
    <w:rPr>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rsid w:val="00E77CB3"/>
    <w:pPr>
      <w:jc w:val="both"/>
    </w:pPr>
    <w:rPr>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rsid w:val="00E77CB3"/>
    <w:pPr>
      <w:jc w:val="both"/>
    </w:pPr>
    <w:rPr>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rsid w:val="00E77CB3"/>
    <w:pPr>
      <w:jc w:val="both"/>
    </w:pPr>
    <w:rPr>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rsid w:val="00E77CB3"/>
    <w:pPr>
      <w:jc w:val="both"/>
    </w:pPr>
    <w:rPr>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rsid w:val="00E77CB3"/>
    <w:pPr>
      <w:jc w:val="both"/>
    </w:pPr>
    <w:rPr>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rsid w:val="00E77CB3"/>
    <w:pPr>
      <w:jc w:val="both"/>
    </w:pPr>
    <w:rPr>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rsid w:val="00E77CB3"/>
    <w:pPr>
      <w:jc w:val="both"/>
    </w:pPr>
    <w:rPr>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rsid w:val="00E77CB3"/>
    <w:pPr>
      <w:jc w:val="both"/>
    </w:pPr>
    <w:rPr>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rsid w:val="00E77CB3"/>
    <w:pPr>
      <w:jc w:val="both"/>
    </w:pPr>
    <w:rPr>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rsid w:val="00E77CB3"/>
    <w:pPr>
      <w:jc w:val="both"/>
    </w:pPr>
    <w:rPr>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rsid w:val="00E77CB3"/>
    <w:pPr>
      <w:jc w:val="both"/>
    </w:pPr>
    <w:rPr>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rsid w:val="00E77CB3"/>
    <w:pPr>
      <w:jc w:val="both"/>
    </w:pPr>
    <w:rPr>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rsid w:val="00E77CB3"/>
    <w:pPr>
      <w:jc w:val="both"/>
    </w:pPr>
    <w:rPr>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rsid w:val="00E77CB3"/>
    <w:pPr>
      <w:jc w:val="both"/>
    </w:pPr>
    <w:rPr>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rsid w:val="00E77CB3"/>
    <w:pPr>
      <w:jc w:val="both"/>
    </w:pPr>
    <w:rPr>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rsid w:val="00E77CB3"/>
    <w:pPr>
      <w:jc w:val="both"/>
    </w:pPr>
    <w:rPr>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uiPriority w:val="99"/>
    <w:semiHidden/>
    <w:rsid w:val="00E77CB3"/>
    <w:pPr>
      <w:jc w:val="both"/>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rsid w:val="00E77CB3"/>
    <w:pPr>
      <w:jc w:val="both"/>
    </w:pPr>
    <w:rPr>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rsid w:val="00E77CB3"/>
    <w:pPr>
      <w:jc w:val="both"/>
    </w:pPr>
    <w:rPr>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rsid w:val="00E77CB3"/>
    <w:pPr>
      <w:jc w:val="both"/>
    </w:pPr>
    <w:rPr>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rsid w:val="00E77CB3"/>
    <w:pPr>
      <w:jc w:val="both"/>
    </w:pPr>
    <w:rPr>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rsid w:val="00E77CB3"/>
    <w:pPr>
      <w:jc w:val="both"/>
    </w:pPr>
    <w:rPr>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rsid w:val="00E77CB3"/>
    <w:pPr>
      <w:jc w:val="both"/>
    </w:pPr>
    <w:rPr>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rsid w:val="00E77CB3"/>
    <w:pPr>
      <w:jc w:val="both"/>
    </w:pPr>
    <w:rPr>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rsid w:val="00E77CB3"/>
    <w:pPr>
      <w:jc w:val="both"/>
    </w:pPr>
    <w:rPr>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rsid w:val="00E77CB3"/>
    <w:pPr>
      <w:jc w:val="both"/>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rsid w:val="00E77CB3"/>
    <w:pPr>
      <w:jc w:val="both"/>
    </w:pPr>
    <w:rPr>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rsid w:val="00E77CB3"/>
    <w:pPr>
      <w:jc w:val="both"/>
    </w:pPr>
    <w:rPr>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rsid w:val="00E77CB3"/>
    <w:pPr>
      <w:jc w:val="both"/>
    </w:pPr>
    <w:rPr>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rsid w:val="00E77CB3"/>
    <w:pPr>
      <w:ind w:left="240" w:hanging="240"/>
    </w:pPr>
  </w:style>
  <w:style w:type="paragraph" w:styleId="Indicedellefigure">
    <w:name w:val="table of figures"/>
    <w:basedOn w:val="Normale"/>
    <w:next w:val="Normale"/>
    <w:uiPriority w:val="99"/>
    <w:semiHidden/>
    <w:rsid w:val="00E77CB3"/>
  </w:style>
  <w:style w:type="table" w:styleId="Tabellaprofessionale">
    <w:name w:val="Table Professional"/>
    <w:basedOn w:val="Tabellanormale"/>
    <w:uiPriority w:val="99"/>
    <w:semiHidden/>
    <w:rsid w:val="00E77CB3"/>
    <w:pPr>
      <w:jc w:val="both"/>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rsid w:val="00E77CB3"/>
    <w:pPr>
      <w:jc w:val="both"/>
    </w:pPr>
    <w:rPr>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rsid w:val="00E77CB3"/>
    <w:pPr>
      <w:jc w:val="both"/>
    </w:pPr>
    <w:rPr>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rsid w:val="00E77CB3"/>
    <w:pPr>
      <w:jc w:val="both"/>
    </w:pPr>
    <w:rPr>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rsid w:val="00E77CB3"/>
    <w:pPr>
      <w:jc w:val="both"/>
    </w:pPr>
    <w:rPr>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rsid w:val="00E77CB3"/>
    <w:pPr>
      <w:jc w:val="both"/>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rsid w:val="00E77CB3"/>
    <w:pPr>
      <w:jc w:val="both"/>
    </w:pPr>
    <w:rPr>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rsid w:val="00E77CB3"/>
    <w:pPr>
      <w:jc w:val="both"/>
    </w:pPr>
    <w:rPr>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rsid w:val="00E77CB3"/>
    <w:pPr>
      <w:jc w:val="both"/>
    </w:pPr>
    <w:rPr>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9"/>
    <w:semiHidden/>
    <w:rsid w:val="007F3E67"/>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9"/>
    <w:semiHidden/>
    <w:rsid w:val="007F3E67"/>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9"/>
    <w:semiHidden/>
    <w:rsid w:val="00E77CB3"/>
    <w:pPr>
      <w:spacing w:after="100"/>
      <w:ind w:left="1680"/>
    </w:pPr>
  </w:style>
  <w:style w:type="paragraph" w:styleId="Sommario9">
    <w:name w:val="toc 9"/>
    <w:basedOn w:val="Normale"/>
    <w:next w:val="Normale"/>
    <w:autoRedefine/>
    <w:uiPriority w:val="99"/>
    <w:semiHidden/>
    <w:rsid w:val="00E77CB3"/>
    <w:pPr>
      <w:spacing w:after="100"/>
      <w:ind w:left="1920"/>
    </w:pPr>
  </w:style>
  <w:style w:type="paragraph" w:customStyle="1" w:styleId="OpiHA0">
    <w:name w:val="Opi_H_A"/>
    <w:basedOn w:val="ECHRHeading1"/>
    <w:next w:val="OpiPara"/>
    <w:uiPriority w:val="41"/>
    <w:qFormat/>
    <w:rsid w:val="007F3E67"/>
    <w:pPr>
      <w:tabs>
        <w:tab w:val="clear" w:pos="357"/>
      </w:tabs>
      <w:outlineLvl w:val="1"/>
    </w:pPr>
    <w:rPr>
      <w:b/>
    </w:rPr>
  </w:style>
  <w:style w:type="paragraph" w:customStyle="1" w:styleId="OpiHi">
    <w:name w:val="Opi_H_i"/>
    <w:basedOn w:val="ECHRHeading4"/>
    <w:uiPriority w:val="44"/>
    <w:qFormat/>
    <w:rsid w:val="007F3E67"/>
    <w:pPr>
      <w:ind w:left="1037" w:hanging="357"/>
      <w:outlineLvl w:val="4"/>
    </w:pPr>
    <w:rPr>
      <w:b w:val="0"/>
      <w:i/>
    </w:rPr>
  </w:style>
  <w:style w:type="paragraph" w:customStyle="1" w:styleId="OpiPara">
    <w:name w:val="Opi_Para"/>
    <w:basedOn w:val="ECHRPara"/>
    <w:uiPriority w:val="46"/>
    <w:qFormat/>
    <w:rsid w:val="007F3E67"/>
  </w:style>
  <w:style w:type="paragraph" w:customStyle="1" w:styleId="OpiParaSub">
    <w:name w:val="Opi_Para_Sub"/>
    <w:basedOn w:val="JuParaSub"/>
    <w:uiPriority w:val="47"/>
    <w:qFormat/>
    <w:rsid w:val="007F3E67"/>
  </w:style>
  <w:style w:type="paragraph" w:customStyle="1" w:styleId="OpiQuot">
    <w:name w:val="Opi_Quot"/>
    <w:basedOn w:val="ECHRParaQuote"/>
    <w:uiPriority w:val="48"/>
    <w:qFormat/>
    <w:rsid w:val="007F3E67"/>
  </w:style>
  <w:style w:type="paragraph" w:customStyle="1" w:styleId="OpiQuotSub">
    <w:name w:val="Opi_Quot_Sub"/>
    <w:basedOn w:val="JuQuotSub"/>
    <w:uiPriority w:val="49"/>
    <w:qFormat/>
    <w:rsid w:val="007F3E67"/>
  </w:style>
  <w:style w:type="paragraph" w:customStyle="1" w:styleId="OpiTranslation">
    <w:name w:val="Opi_Translation"/>
    <w:basedOn w:val="Normale"/>
    <w:next w:val="OpiPara"/>
    <w:uiPriority w:val="40"/>
    <w:qFormat/>
    <w:rsid w:val="007F3E67"/>
    <w:pPr>
      <w:jc w:val="center"/>
      <w:outlineLvl w:val="0"/>
    </w:pPr>
    <w:rPr>
      <w:i/>
    </w:rPr>
  </w:style>
  <w:style w:type="character" w:customStyle="1" w:styleId="ECHRParaChar">
    <w:name w:val="ECHR_Para Char"/>
    <w:aliases w:val="Ju_Para Char"/>
    <w:basedOn w:val="Carpredefinitoparagrafo"/>
    <w:link w:val="ECHRPara"/>
    <w:uiPriority w:val="12"/>
    <w:rsid w:val="00E235F1"/>
    <w:rPr>
      <w:rFonts w:eastAsiaTheme="minorEastAsia"/>
      <w:sz w:val="24"/>
      <w:lang w:val="en-GB"/>
    </w:rPr>
  </w:style>
  <w:style w:type="character" w:customStyle="1" w:styleId="JuH1Char">
    <w:name w:val="Ju_H_1. Char"/>
    <w:basedOn w:val="Carpredefinitoparagrafo"/>
    <w:link w:val="ECHRHeading3"/>
    <w:uiPriority w:val="21"/>
    <w:rsid w:val="00E235F1"/>
    <w:rPr>
      <w:rFonts w:asciiTheme="majorHAnsi" w:eastAsiaTheme="majorEastAsia" w:hAnsiTheme="majorHAnsi" w:cstheme="majorBidi"/>
      <w:bCs/>
      <w:i/>
      <w:sz w:val="24"/>
      <w:lang w:val="en-GB"/>
    </w:rPr>
  </w:style>
  <w:style w:type="character" w:customStyle="1" w:styleId="JuQuotChar">
    <w:name w:val="Ju_Quot Char"/>
    <w:basedOn w:val="ECHRParaChar"/>
    <w:link w:val="ECHRParaQuote"/>
    <w:uiPriority w:val="14"/>
    <w:rsid w:val="00E235F1"/>
    <w:rPr>
      <w:rFonts w:eastAsiaTheme="minorEastAsia"/>
      <w:sz w:val="20"/>
      <w:lang w:val="en-GB"/>
    </w:rPr>
  </w:style>
  <w:style w:type="character" w:customStyle="1" w:styleId="JuHAChar0">
    <w:name w:val="Ju_H_A Char"/>
    <w:basedOn w:val="Carpredefinitoparagrafo"/>
    <w:link w:val="ECHRHeading2"/>
    <w:uiPriority w:val="20"/>
    <w:rsid w:val="00E235F1"/>
    <w:rPr>
      <w:rFonts w:asciiTheme="majorHAnsi" w:eastAsiaTheme="majorEastAsia" w:hAnsiTheme="majorHAnsi" w:cstheme="majorBidi"/>
      <w:b/>
      <w:bCs/>
      <w:sz w:val="24"/>
      <w:szCs w:val="26"/>
      <w:lang w:val="en-GB"/>
    </w:rPr>
  </w:style>
  <w:style w:type="character" w:customStyle="1" w:styleId="JuHaChar">
    <w:name w:val="Ju_H_a Char"/>
    <w:basedOn w:val="Carpredefinitoparagrafo"/>
    <w:link w:val="ECHRHeading4"/>
    <w:uiPriority w:val="22"/>
    <w:rsid w:val="00E235F1"/>
    <w:rPr>
      <w:rFonts w:asciiTheme="majorHAnsi" w:eastAsiaTheme="majorEastAsia" w:hAnsiTheme="majorHAnsi" w:cstheme="majorBidi"/>
      <w:b/>
      <w:bCs/>
      <w:iCs/>
      <w:sz w:val="20"/>
      <w:lang w:val="en-GB"/>
    </w:rPr>
  </w:style>
  <w:style w:type="character" w:customStyle="1" w:styleId="JuTitleChar">
    <w:name w:val="Ju_Title Char"/>
    <w:basedOn w:val="Carpredefinitoparagrafo"/>
    <w:link w:val="JuTitle"/>
    <w:uiPriority w:val="3"/>
    <w:rsid w:val="00F16970"/>
    <w:rPr>
      <w:rFonts w:asciiTheme="majorHAnsi" w:eastAsiaTheme="minorEastAsia" w:hAnsiTheme="majorHAnsi"/>
      <w:b/>
      <w:caps/>
      <w:sz w:val="24"/>
      <w:lang w:val="en-GB"/>
    </w:rPr>
  </w:style>
  <w:style w:type="character" w:customStyle="1" w:styleId="JuHiChar">
    <w:name w:val="Ju_H_i Char"/>
    <w:basedOn w:val="JuHaChar"/>
    <w:link w:val="ECHRHeading5"/>
    <w:uiPriority w:val="23"/>
    <w:rsid w:val="00327BA1"/>
    <w:rPr>
      <w:rFonts w:asciiTheme="majorHAnsi" w:eastAsiaTheme="majorEastAsia" w:hAnsiTheme="majorHAnsi" w:cstheme="majorBidi"/>
      <w:b w:val="0"/>
      <w:bCs/>
      <w:i/>
      <w:iCs w:val="0"/>
      <w:sz w:val="20"/>
      <w:lang w:val="en-GB"/>
    </w:rPr>
  </w:style>
  <w:style w:type="character" w:customStyle="1" w:styleId="JuParaLastChar">
    <w:name w:val="Ju_Para_Last Char"/>
    <w:basedOn w:val="ECHRParaChar"/>
    <w:link w:val="JuParaLast"/>
    <w:uiPriority w:val="30"/>
    <w:rsid w:val="00F4680F"/>
    <w:rPr>
      <w:rFonts w:eastAsiaTheme="minorEastAsia"/>
      <w:sz w:val="24"/>
      <w:lang w:val="en-GB"/>
    </w:rPr>
  </w:style>
  <w:style w:type="paragraph" w:styleId="Revisione">
    <w:name w:val="Revision"/>
    <w:hidden/>
    <w:uiPriority w:val="99"/>
    <w:semiHidden/>
    <w:rsid w:val="0018225C"/>
    <w:rPr>
      <w:rFonts w:eastAsia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41219">
      <w:bodyDiv w:val="1"/>
      <w:marLeft w:val="0"/>
      <w:marRight w:val="0"/>
      <w:marTop w:val="0"/>
      <w:marBottom w:val="0"/>
      <w:divBdr>
        <w:top w:val="none" w:sz="0" w:space="0" w:color="auto"/>
        <w:left w:val="none" w:sz="0" w:space="0" w:color="auto"/>
        <w:bottom w:val="none" w:sz="0" w:space="0" w:color="auto"/>
        <w:right w:val="none" w:sz="0" w:space="0" w:color="auto"/>
      </w:divBdr>
      <w:divsChild>
        <w:div w:id="1833793610">
          <w:marLeft w:val="0"/>
          <w:marRight w:val="0"/>
          <w:marTop w:val="0"/>
          <w:marBottom w:val="0"/>
          <w:divBdr>
            <w:top w:val="none" w:sz="0" w:space="0" w:color="auto"/>
            <w:left w:val="none" w:sz="0" w:space="0" w:color="auto"/>
            <w:bottom w:val="none" w:sz="0" w:space="0" w:color="auto"/>
            <w:right w:val="none" w:sz="0" w:space="0" w:color="auto"/>
          </w:divBdr>
          <w:divsChild>
            <w:div w:id="392848093">
              <w:marLeft w:val="0"/>
              <w:marRight w:val="0"/>
              <w:marTop w:val="0"/>
              <w:marBottom w:val="0"/>
              <w:divBdr>
                <w:top w:val="none" w:sz="0" w:space="0" w:color="auto"/>
                <w:left w:val="none" w:sz="0" w:space="0" w:color="auto"/>
                <w:bottom w:val="none" w:sz="0" w:space="0" w:color="auto"/>
                <w:right w:val="none" w:sz="0" w:space="0" w:color="auto"/>
              </w:divBdr>
              <w:divsChild>
                <w:div w:id="680815427">
                  <w:marLeft w:val="0"/>
                  <w:marRight w:val="0"/>
                  <w:marTop w:val="0"/>
                  <w:marBottom w:val="0"/>
                  <w:divBdr>
                    <w:top w:val="none" w:sz="0" w:space="0" w:color="auto"/>
                    <w:left w:val="none" w:sz="0" w:space="0" w:color="auto"/>
                    <w:bottom w:val="none" w:sz="0" w:space="0" w:color="auto"/>
                    <w:right w:val="none" w:sz="0" w:space="0" w:color="auto"/>
                  </w:divBdr>
                  <w:divsChild>
                    <w:div w:id="1856339234">
                      <w:marLeft w:val="0"/>
                      <w:marRight w:val="0"/>
                      <w:marTop w:val="0"/>
                      <w:marBottom w:val="0"/>
                      <w:divBdr>
                        <w:top w:val="none" w:sz="0" w:space="0" w:color="auto"/>
                        <w:left w:val="none" w:sz="0" w:space="0" w:color="auto"/>
                        <w:bottom w:val="none" w:sz="0" w:space="0" w:color="auto"/>
                        <w:right w:val="none" w:sz="0" w:space="0" w:color="auto"/>
                      </w:divBdr>
                      <w:divsChild>
                        <w:div w:id="1189414502">
                          <w:marLeft w:val="0"/>
                          <w:marRight w:val="0"/>
                          <w:marTop w:val="0"/>
                          <w:marBottom w:val="0"/>
                          <w:divBdr>
                            <w:top w:val="none" w:sz="0" w:space="0" w:color="auto"/>
                            <w:left w:val="none" w:sz="0" w:space="0" w:color="auto"/>
                            <w:bottom w:val="none" w:sz="0" w:space="0" w:color="auto"/>
                            <w:right w:val="none" w:sz="0" w:space="0" w:color="auto"/>
                          </w:divBdr>
                          <w:divsChild>
                            <w:div w:id="16090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 w:id="203758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F6094-4DE5-49F9-BC6D-C71CE119428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F3470E3-B222-4363-A1D6-538E907D13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FC23818-F431-4664-8A1D-A84F958A3D14}">
  <ds:schemaRefs>
    <ds:schemaRef ds:uri="http://schemas.microsoft.com/sharepoint/v3/contenttype/forms"/>
  </ds:schemaRefs>
</ds:datastoreItem>
</file>

<file path=customXml/itemProps4.xml><?xml version="1.0" encoding="utf-8"?>
<ds:datastoreItem xmlns:ds="http://schemas.openxmlformats.org/officeDocument/2006/customXml" ds:itemID="{BB343A68-CB3B-429C-BFE6-CF2C82D80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17887</Words>
  <Characters>101962</Characters>
  <Application>Microsoft Office Word</Application>
  <DocSecurity>0</DocSecurity>
  <Lines>849</Lines>
  <Paragraphs>239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ECHR</vt:lpstr>
    </vt:vector>
  </TitlesOfParts>
  <Manager/>
  <Company/>
  <LinksUpToDate>false</LinksUpToDate>
  <CharactersWithSpaces>119610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DJF</dc:subject>
  <dc:creator/>
  <cp:keywords/>
  <dc:description/>
  <cp:lastModifiedBy/>
  <cp:revision>1</cp:revision>
  <dcterms:created xsi:type="dcterms:W3CDTF">2017-11-06T09:35:00Z</dcterms:created>
  <dcterms:modified xsi:type="dcterms:W3CDTF">2017-11-06T09:35:00Z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1036</vt:i4>
  </property>
  <property fmtid="{D5CDD505-2E9C-101B-9397-08002B2CF9AE}" pid="3" name="RegisteredNo">
    <vt:lpwstr>28923/09</vt:lpwstr>
  </property>
  <property fmtid="{D5CDD505-2E9C-101B-9397-08002B2CF9AE}" pid="4" name="CASEID">
    <vt:lpwstr>575130</vt:lpwstr>
  </property>
  <property fmtid="{D5CDD505-2E9C-101B-9397-08002B2CF9AE}" pid="5" name="ContentTypeId">
    <vt:lpwstr>0x010100558EB02BDB9E204AB350EDD385B68E10</vt:lpwstr>
  </property>
</Properties>
</file>